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4D2E7" w14:textId="77777777" w:rsidR="00BD2FCE" w:rsidRDefault="00BD2FCE" w:rsidP="00BD2FCE">
      <w:pPr>
        <w:pStyle w:val="LMAppendixTitle"/>
        <w:spacing w:after="0"/>
        <w:rPr>
          <w:rFonts w:ascii="Times New Roman" w:hAnsi="Times New Roman"/>
          <w:sz w:val="22"/>
          <w:szCs w:val="22"/>
        </w:rPr>
      </w:pPr>
      <w:bookmarkStart w:id="0" w:name="_Toc159728354"/>
      <w:r w:rsidRPr="00721C52">
        <w:rPr>
          <w:rFonts w:ascii="Times New Roman" w:hAnsi="Times New Roman"/>
          <w:sz w:val="22"/>
          <w:szCs w:val="22"/>
        </w:rPr>
        <w:t>ENERGY FUELS INC.</w:t>
      </w:r>
    </w:p>
    <w:p w14:paraId="1CD7A51C" w14:textId="77777777" w:rsidR="009C7013" w:rsidRPr="00721C52" w:rsidRDefault="009C7013" w:rsidP="00BD2FCE">
      <w:pPr>
        <w:pStyle w:val="LMAppendixTitle"/>
        <w:spacing w:after="0"/>
        <w:rPr>
          <w:rFonts w:ascii="Times New Roman" w:hAnsi="Times New Roman"/>
          <w:sz w:val="22"/>
          <w:szCs w:val="22"/>
        </w:rPr>
      </w:pPr>
    </w:p>
    <w:p w14:paraId="02CBB566" w14:textId="142941C3" w:rsidR="00BD2FCE" w:rsidRPr="00721C52" w:rsidRDefault="009C7013" w:rsidP="00BD2FCE">
      <w:pPr>
        <w:pStyle w:val="LMAppendixTitle"/>
        <w:spacing w:after="0"/>
        <w:rPr>
          <w:rFonts w:ascii="Times New Roman" w:hAnsi="Times New Roman"/>
          <w:sz w:val="22"/>
          <w:szCs w:val="22"/>
        </w:rPr>
      </w:pPr>
      <w:r>
        <w:rPr>
          <w:rFonts w:ascii="Times New Roman" w:hAnsi="Times New Roman"/>
          <w:sz w:val="22"/>
          <w:szCs w:val="22"/>
        </w:rPr>
        <w:t xml:space="preserve">CHARTER OF THE </w:t>
      </w:r>
      <w:r w:rsidR="00BD2FCE" w:rsidRPr="00721C52">
        <w:rPr>
          <w:rFonts w:ascii="Times New Roman" w:hAnsi="Times New Roman"/>
          <w:sz w:val="22"/>
          <w:szCs w:val="22"/>
        </w:rPr>
        <w:t>COMPENSATION COMMITTEE</w:t>
      </w:r>
      <w:bookmarkEnd w:id="0"/>
    </w:p>
    <w:p w14:paraId="3C37A83D" w14:textId="77777777" w:rsidR="00BD2FCE" w:rsidRPr="00721C52" w:rsidRDefault="00BD2FCE" w:rsidP="00BD2FCE">
      <w:pPr>
        <w:pStyle w:val="LMAppendixTitle"/>
        <w:spacing w:after="0"/>
        <w:rPr>
          <w:rFonts w:ascii="Times New Roman" w:hAnsi="Times New Roman"/>
          <w:sz w:val="22"/>
          <w:szCs w:val="22"/>
        </w:rPr>
      </w:pPr>
      <w:bookmarkStart w:id="1" w:name="_GoBack"/>
      <w:bookmarkEnd w:id="1"/>
    </w:p>
    <w:p w14:paraId="3E3DF9F0" w14:textId="203BB0FA" w:rsidR="00BD2FCE" w:rsidRPr="00F40411" w:rsidRDefault="00BD2FCE" w:rsidP="00BD2FCE">
      <w:pPr>
        <w:pStyle w:val="ListParagraph"/>
        <w:spacing w:after="0"/>
        <w:ind w:left="0"/>
        <w:jc w:val="center"/>
        <w:rPr>
          <w:rFonts w:ascii="Times New Roman" w:hAnsi="Times New Roman"/>
          <w:b/>
          <w:sz w:val="22"/>
          <w:szCs w:val="22"/>
        </w:rPr>
      </w:pPr>
      <w:r w:rsidRPr="00F40411">
        <w:rPr>
          <w:rFonts w:ascii="Times New Roman" w:hAnsi="Times New Roman"/>
          <w:b/>
          <w:sz w:val="22"/>
          <w:szCs w:val="22"/>
        </w:rPr>
        <w:t xml:space="preserve">(As Approved by the Board on </w:t>
      </w:r>
      <w:r w:rsidR="00C226BC">
        <w:rPr>
          <w:rFonts w:ascii="Times New Roman" w:hAnsi="Times New Roman"/>
          <w:b/>
          <w:sz w:val="22"/>
          <w:szCs w:val="22"/>
        </w:rPr>
        <w:t>January 23</w:t>
      </w:r>
      <w:r w:rsidR="00FA307B">
        <w:rPr>
          <w:rFonts w:ascii="Times New Roman" w:hAnsi="Times New Roman"/>
          <w:b/>
          <w:sz w:val="22"/>
          <w:szCs w:val="22"/>
        </w:rPr>
        <w:t>, 201</w:t>
      </w:r>
      <w:r w:rsidR="00C226BC">
        <w:rPr>
          <w:rFonts w:ascii="Times New Roman" w:hAnsi="Times New Roman"/>
          <w:b/>
          <w:sz w:val="22"/>
          <w:szCs w:val="22"/>
        </w:rPr>
        <w:t>8</w:t>
      </w:r>
      <w:r w:rsidRPr="00F40411">
        <w:rPr>
          <w:rFonts w:ascii="Times New Roman" w:hAnsi="Times New Roman"/>
          <w:b/>
          <w:sz w:val="22"/>
          <w:szCs w:val="22"/>
        </w:rPr>
        <w:t>)</w:t>
      </w:r>
    </w:p>
    <w:p w14:paraId="6AAA347E" w14:textId="77777777" w:rsidR="00BD2FCE" w:rsidRDefault="00BD2FCE" w:rsidP="00FA307B">
      <w:pPr>
        <w:pStyle w:val="ListParagraph"/>
        <w:spacing w:after="0"/>
        <w:ind w:left="0"/>
        <w:rPr>
          <w:rFonts w:ascii="Times New Roman" w:hAnsi="Times New Roman"/>
          <w:sz w:val="22"/>
          <w:szCs w:val="22"/>
        </w:rPr>
      </w:pPr>
    </w:p>
    <w:p w14:paraId="1EACAA7B" w14:textId="77777777" w:rsidR="00BD2FCE" w:rsidRPr="00F40411" w:rsidRDefault="00BD2FCE" w:rsidP="00FA307B">
      <w:pPr>
        <w:pStyle w:val="ListParagraph"/>
        <w:spacing w:after="0"/>
        <w:ind w:left="0"/>
        <w:rPr>
          <w:rFonts w:ascii="Times New Roman" w:hAnsi="Times New Roman"/>
          <w:sz w:val="22"/>
          <w:szCs w:val="22"/>
        </w:rPr>
      </w:pPr>
    </w:p>
    <w:p w14:paraId="6114E8F4" w14:textId="77777777" w:rsidR="00BD2FCE" w:rsidRPr="00FA307B" w:rsidRDefault="00BD2FCE">
      <w:pPr>
        <w:pStyle w:val="ListParagraph"/>
        <w:spacing w:after="0"/>
        <w:ind w:left="0"/>
        <w:rPr>
          <w:rFonts w:ascii="Times New Roman" w:hAnsi="Times New Roman"/>
          <w:sz w:val="22"/>
        </w:rPr>
      </w:pPr>
      <w:r w:rsidRPr="00FA307B">
        <w:rPr>
          <w:rFonts w:ascii="Times New Roman" w:hAnsi="Times New Roman"/>
          <w:sz w:val="22"/>
        </w:rPr>
        <w:t xml:space="preserve">The Board of Directors of Energy Fuels Inc. (the “Corporation”) has established a Compensation Committee (the “Committee”).  </w:t>
      </w:r>
    </w:p>
    <w:p w14:paraId="7A39C249" w14:textId="77777777" w:rsidR="00BD2FCE" w:rsidRPr="00721C52" w:rsidRDefault="00BD2FCE" w:rsidP="00BD2FCE">
      <w:pPr>
        <w:pStyle w:val="LMAppendixTitle"/>
        <w:spacing w:after="0"/>
        <w:ind w:left="630"/>
        <w:jc w:val="both"/>
        <w:rPr>
          <w:rFonts w:ascii="Times New Roman" w:hAnsi="Times New Roman"/>
          <w:b w:val="0"/>
          <w:sz w:val="22"/>
          <w:szCs w:val="22"/>
        </w:rPr>
      </w:pPr>
    </w:p>
    <w:p w14:paraId="14DF6F12" w14:textId="77777777" w:rsidR="00BD2FCE" w:rsidRPr="00721C52" w:rsidRDefault="00BD2FCE" w:rsidP="00FA307B">
      <w:pPr>
        <w:pStyle w:val="LML1"/>
        <w:numPr>
          <w:ilvl w:val="0"/>
          <w:numId w:val="3"/>
        </w:numPr>
        <w:spacing w:after="0"/>
        <w:rPr>
          <w:rFonts w:ascii="Times New Roman" w:hAnsi="Times New Roman"/>
          <w:sz w:val="22"/>
          <w:szCs w:val="22"/>
        </w:rPr>
      </w:pPr>
      <w:r w:rsidRPr="00721C52">
        <w:rPr>
          <w:rFonts w:ascii="Times New Roman" w:hAnsi="Times New Roman"/>
          <w:sz w:val="22"/>
          <w:szCs w:val="22"/>
        </w:rPr>
        <w:t>Purpose</w:t>
      </w:r>
    </w:p>
    <w:p w14:paraId="5AB4C574" w14:textId="77777777" w:rsidR="00BD2FCE" w:rsidRPr="00721C52" w:rsidRDefault="00BD2FCE" w:rsidP="00BD2FCE">
      <w:pPr>
        <w:pStyle w:val="LML1"/>
        <w:numPr>
          <w:ilvl w:val="0"/>
          <w:numId w:val="0"/>
        </w:numPr>
        <w:spacing w:after="0"/>
        <w:rPr>
          <w:rFonts w:ascii="Times New Roman" w:hAnsi="Times New Roman"/>
          <w:sz w:val="22"/>
          <w:szCs w:val="22"/>
        </w:rPr>
      </w:pPr>
    </w:p>
    <w:p w14:paraId="6407CAA8" w14:textId="77777777" w:rsidR="00BD2FCE" w:rsidRPr="00721C52" w:rsidRDefault="00BD2FCE" w:rsidP="00BD2FCE">
      <w:pPr>
        <w:pStyle w:val="LML2"/>
        <w:numPr>
          <w:ilvl w:val="0"/>
          <w:numId w:val="0"/>
        </w:numPr>
        <w:spacing w:after="0"/>
        <w:rPr>
          <w:rFonts w:ascii="Times New Roman" w:hAnsi="Times New Roman"/>
          <w:sz w:val="22"/>
          <w:szCs w:val="22"/>
        </w:rPr>
      </w:pPr>
      <w:proofErr w:type="gramStart"/>
      <w:r w:rsidRPr="00721C52">
        <w:rPr>
          <w:rFonts w:ascii="Times New Roman" w:hAnsi="Times New Roman"/>
          <w:sz w:val="22"/>
          <w:szCs w:val="22"/>
        </w:rPr>
        <w:t>The purpose of the Committee is to assist the Board of Directors (the “Board”) in administering the Corporation’s executive and director compensation program, in succession planning for executive management, in development and retention of senior management, in reviewing the performance of senior management, in recommending compensation for the Chief Executive Officer and in reviewing and approving individual compensation for other executive officers.</w:t>
      </w:r>
      <w:proofErr w:type="gramEnd"/>
      <w:r w:rsidRPr="00721C52">
        <w:rPr>
          <w:rFonts w:ascii="Times New Roman" w:hAnsi="Times New Roman"/>
          <w:sz w:val="22"/>
          <w:szCs w:val="22"/>
        </w:rPr>
        <w:t xml:space="preserve">  The Committee shall make its determinations and recommendations in accordance with policies that </w:t>
      </w:r>
      <w:proofErr w:type="gramStart"/>
      <w:r w:rsidRPr="00721C52">
        <w:rPr>
          <w:rFonts w:ascii="Times New Roman" w:hAnsi="Times New Roman"/>
          <w:sz w:val="22"/>
          <w:szCs w:val="22"/>
        </w:rPr>
        <w:t>may be approved</w:t>
      </w:r>
      <w:proofErr w:type="gramEnd"/>
      <w:r w:rsidRPr="00721C52">
        <w:rPr>
          <w:rFonts w:ascii="Times New Roman" w:hAnsi="Times New Roman"/>
          <w:sz w:val="22"/>
          <w:szCs w:val="22"/>
        </w:rPr>
        <w:t xml:space="preserve"> by the Board from time to time.  </w:t>
      </w:r>
    </w:p>
    <w:p w14:paraId="19F66EDE" w14:textId="77777777" w:rsidR="00BD2FCE" w:rsidRPr="00721C52" w:rsidRDefault="00BD2FCE" w:rsidP="00BD2FCE">
      <w:pPr>
        <w:pStyle w:val="LML2"/>
        <w:numPr>
          <w:ilvl w:val="0"/>
          <w:numId w:val="0"/>
        </w:numPr>
        <w:spacing w:after="0"/>
        <w:rPr>
          <w:rFonts w:ascii="Times New Roman" w:hAnsi="Times New Roman"/>
          <w:sz w:val="22"/>
          <w:szCs w:val="22"/>
        </w:rPr>
      </w:pPr>
    </w:p>
    <w:p w14:paraId="1E07FA57" w14:textId="77777777" w:rsidR="00BD2FCE" w:rsidRPr="00721C52" w:rsidRDefault="00BD2FCE" w:rsidP="00BD2FCE">
      <w:pPr>
        <w:pStyle w:val="LML2"/>
        <w:numPr>
          <w:ilvl w:val="0"/>
          <w:numId w:val="0"/>
        </w:numPr>
        <w:spacing w:after="0"/>
        <w:rPr>
          <w:rFonts w:ascii="Times New Roman" w:hAnsi="Times New Roman"/>
          <w:sz w:val="22"/>
          <w:szCs w:val="22"/>
        </w:rPr>
      </w:pPr>
      <w:r w:rsidRPr="00721C52">
        <w:rPr>
          <w:rFonts w:ascii="Times New Roman" w:hAnsi="Times New Roman"/>
          <w:sz w:val="22"/>
          <w:szCs w:val="22"/>
        </w:rPr>
        <w:t xml:space="preserve">The guiding philosophy of the Committee in determining compensation for executives is the need to provide a compensation package that is competitive and motivating, will attract and retain qualified executives, and encourages and motivates performance.  Performance includes achievement of the Corporation’s strategic objectives and the enhancement of shareholder value.  In recommending compensation for executive </w:t>
      </w:r>
      <w:proofErr w:type="gramStart"/>
      <w:r w:rsidRPr="00721C52">
        <w:rPr>
          <w:rFonts w:ascii="Times New Roman" w:hAnsi="Times New Roman"/>
          <w:sz w:val="22"/>
          <w:szCs w:val="22"/>
        </w:rPr>
        <w:t>officers</w:t>
      </w:r>
      <w:proofErr w:type="gramEnd"/>
      <w:r w:rsidRPr="00721C52">
        <w:rPr>
          <w:rFonts w:ascii="Times New Roman" w:hAnsi="Times New Roman"/>
          <w:sz w:val="22"/>
          <w:szCs w:val="22"/>
        </w:rPr>
        <w:t xml:space="preserve"> the Committee shall take into consideration individual performance, responsibilities, length of service and levels of compensation provided by industry competitors.</w:t>
      </w:r>
    </w:p>
    <w:p w14:paraId="331B9E38" w14:textId="77777777" w:rsidR="00BD2FCE" w:rsidRPr="00721C52" w:rsidRDefault="00BD2FCE" w:rsidP="00BD2FCE">
      <w:pPr>
        <w:pStyle w:val="LML2"/>
        <w:numPr>
          <w:ilvl w:val="0"/>
          <w:numId w:val="0"/>
        </w:numPr>
        <w:spacing w:after="0"/>
        <w:rPr>
          <w:rFonts w:ascii="Times New Roman" w:hAnsi="Times New Roman"/>
          <w:sz w:val="22"/>
          <w:szCs w:val="22"/>
        </w:rPr>
      </w:pPr>
    </w:p>
    <w:p w14:paraId="4591902D" w14:textId="77777777" w:rsidR="00BD2FCE" w:rsidRPr="00721C52" w:rsidRDefault="00BD2FCE" w:rsidP="00FA307B">
      <w:pPr>
        <w:pStyle w:val="LML1"/>
        <w:numPr>
          <w:ilvl w:val="0"/>
          <w:numId w:val="3"/>
        </w:numPr>
        <w:spacing w:after="0"/>
        <w:rPr>
          <w:rFonts w:ascii="Times New Roman" w:hAnsi="Times New Roman"/>
          <w:sz w:val="22"/>
          <w:szCs w:val="22"/>
        </w:rPr>
      </w:pPr>
      <w:r w:rsidRPr="00721C52">
        <w:rPr>
          <w:rFonts w:ascii="Times New Roman" w:hAnsi="Times New Roman"/>
          <w:sz w:val="22"/>
          <w:szCs w:val="22"/>
        </w:rPr>
        <w:t>Duties and Responsibilities</w:t>
      </w:r>
    </w:p>
    <w:p w14:paraId="7C54F346" w14:textId="77777777" w:rsidR="00BD2FCE" w:rsidRPr="00721C52" w:rsidRDefault="00BD2FCE" w:rsidP="00BD2FCE">
      <w:pPr>
        <w:pStyle w:val="LML1"/>
        <w:numPr>
          <w:ilvl w:val="0"/>
          <w:numId w:val="0"/>
        </w:numPr>
        <w:spacing w:after="0"/>
        <w:ind w:left="1440" w:hanging="720"/>
        <w:rPr>
          <w:rFonts w:ascii="Times New Roman" w:hAnsi="Times New Roman"/>
          <w:sz w:val="22"/>
          <w:szCs w:val="22"/>
        </w:rPr>
      </w:pPr>
    </w:p>
    <w:p w14:paraId="6205B7F8" w14:textId="77777777" w:rsidR="00BD2FCE" w:rsidRPr="00721C52" w:rsidRDefault="00BD2FCE" w:rsidP="00BD2FCE">
      <w:pPr>
        <w:pStyle w:val="LML2"/>
        <w:numPr>
          <w:ilvl w:val="0"/>
          <w:numId w:val="0"/>
        </w:numPr>
        <w:spacing w:after="0"/>
        <w:rPr>
          <w:rFonts w:ascii="Times New Roman" w:hAnsi="Times New Roman"/>
          <w:sz w:val="22"/>
          <w:szCs w:val="22"/>
        </w:rPr>
      </w:pPr>
      <w:r w:rsidRPr="00721C52">
        <w:rPr>
          <w:rFonts w:ascii="Times New Roman" w:hAnsi="Times New Roman"/>
          <w:sz w:val="22"/>
          <w:szCs w:val="22"/>
        </w:rPr>
        <w:t>The Committee’s responsibilities shall include:</w:t>
      </w:r>
    </w:p>
    <w:p w14:paraId="106F8288" w14:textId="77777777" w:rsidR="00BD2FCE" w:rsidRPr="00721C52" w:rsidRDefault="00BD2FCE" w:rsidP="00BD2FCE">
      <w:pPr>
        <w:pStyle w:val="LML2"/>
        <w:numPr>
          <w:ilvl w:val="0"/>
          <w:numId w:val="0"/>
        </w:numPr>
        <w:spacing w:after="0"/>
        <w:rPr>
          <w:rFonts w:ascii="Times New Roman" w:hAnsi="Times New Roman"/>
          <w:sz w:val="22"/>
          <w:szCs w:val="22"/>
        </w:rPr>
      </w:pPr>
    </w:p>
    <w:p w14:paraId="20EF624A" w14:textId="77777777"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reviewing and recommending to the Board the Corporation’s compensation policies, and reviewing such policies on a periodic basis to ensure they remain current, competitive and consistent with the Corporation’s overall goals;</w:t>
      </w:r>
    </w:p>
    <w:p w14:paraId="1A9A8448" w14:textId="77777777" w:rsidR="00BD2FCE" w:rsidRPr="00FA307B" w:rsidRDefault="00BD2FCE" w:rsidP="00FA307B">
      <w:pPr>
        <w:pStyle w:val="ListParagraph"/>
        <w:spacing w:after="0"/>
        <w:ind w:left="1440" w:hanging="900"/>
        <w:rPr>
          <w:rFonts w:ascii="Times New Roman" w:hAnsi="Times New Roman"/>
          <w:sz w:val="22"/>
        </w:rPr>
      </w:pPr>
    </w:p>
    <w:p w14:paraId="34D17800" w14:textId="2DDF5CDB"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reviewing and approving corporate goals and objectives relevant to the Chief Executive Officer’s compensation, evaluating the Chief Executive Officer’s performance in light of those corporate goals and objectives, and making recommendations to the Board with respect to the Chief Executive Officer’s compensation level (including salary, incentive compensation plans and equity-based plans) based on this evaluation</w:t>
      </w:r>
      <w:r w:rsidR="00484E61">
        <w:rPr>
          <w:rFonts w:ascii="Times New Roman" w:hAnsi="Times New Roman"/>
          <w:sz w:val="22"/>
          <w:szCs w:val="22"/>
        </w:rPr>
        <w:t xml:space="preserve"> and based on any recent shareholder advisory vote on executive compensation as required by Section 14A of the </w:t>
      </w:r>
      <w:r w:rsidR="00531CE4">
        <w:rPr>
          <w:rFonts w:ascii="Times New Roman" w:hAnsi="Times New Roman"/>
          <w:sz w:val="22"/>
          <w:szCs w:val="22"/>
        </w:rPr>
        <w:t>United States Securities Exchange Act of 1934, as amended (the “Exchange Act”)</w:t>
      </w:r>
      <w:r w:rsidRPr="00F40411">
        <w:rPr>
          <w:rFonts w:ascii="Times New Roman" w:hAnsi="Times New Roman"/>
          <w:sz w:val="22"/>
          <w:szCs w:val="22"/>
        </w:rPr>
        <w:t>,</w:t>
      </w:r>
      <w:r w:rsidRPr="00FA307B">
        <w:rPr>
          <w:rFonts w:ascii="Times New Roman" w:hAnsi="Times New Roman"/>
          <w:sz w:val="22"/>
        </w:rPr>
        <w:t xml:space="preserve"> as well as making recommendations to the Board with respect to any employment, severance or change of control agreements for the Chief Executive Officer;</w:t>
      </w:r>
    </w:p>
    <w:p w14:paraId="62F57A87" w14:textId="77777777" w:rsidR="00BD2FCE" w:rsidRPr="00FA307B" w:rsidRDefault="00BD2FCE" w:rsidP="00FA307B">
      <w:pPr>
        <w:pStyle w:val="ListParagraph"/>
        <w:spacing w:after="0"/>
        <w:ind w:left="1440" w:hanging="900"/>
        <w:rPr>
          <w:rFonts w:ascii="Times New Roman" w:hAnsi="Times New Roman"/>
          <w:sz w:val="22"/>
        </w:rPr>
      </w:pPr>
    </w:p>
    <w:p w14:paraId="7E6A87C6" w14:textId="77777777"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making recommendations to the Board with respect to the adequacy and form of compensation payable to and benefits of directors in their capacity as directors (including Board and committee retainers, meeting and committee fees, incentive compensation plans, and equity-based plans), so as to ensure that such compensation realistically reflects the responsibilities and risks involved in being an effective director;</w:t>
      </w:r>
    </w:p>
    <w:p w14:paraId="57E7A500" w14:textId="77777777" w:rsidR="00BD2FCE" w:rsidRPr="00FA307B" w:rsidRDefault="00BD2FCE" w:rsidP="00FA307B">
      <w:pPr>
        <w:pStyle w:val="ListParagraph"/>
        <w:spacing w:after="0"/>
        <w:ind w:left="1440" w:hanging="900"/>
        <w:rPr>
          <w:rFonts w:ascii="Times New Roman" w:hAnsi="Times New Roman"/>
          <w:sz w:val="22"/>
        </w:rPr>
      </w:pPr>
    </w:p>
    <w:p w14:paraId="6CB1C465" w14:textId="77777777" w:rsidR="00BD2FCE" w:rsidRPr="00FA307B" w:rsidRDefault="00BD2FCE" w:rsidP="00FA307B">
      <w:pPr>
        <w:pStyle w:val="ListParagraph"/>
        <w:spacing w:after="0"/>
        <w:ind w:left="1440" w:hanging="900"/>
        <w:rPr>
          <w:rFonts w:ascii="Times New Roman" w:hAnsi="Times New Roman"/>
          <w:sz w:val="22"/>
        </w:rPr>
      </w:pPr>
    </w:p>
    <w:p w14:paraId="7AC836E5" w14:textId="77777777"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considering the implications of the risks associated with the Corporation’s compensation policies and practices and the steps that may be taken to mitigate any identified risks;</w:t>
      </w:r>
    </w:p>
    <w:p w14:paraId="6DEEF815" w14:textId="18C46E4D" w:rsidR="00BD2FCE" w:rsidRPr="00FA307B" w:rsidRDefault="00BD2FCE" w:rsidP="00FA307B">
      <w:pPr>
        <w:pStyle w:val="ListParagraph"/>
        <w:spacing w:after="0"/>
        <w:ind w:left="1440" w:hanging="900"/>
        <w:rPr>
          <w:rFonts w:ascii="Times New Roman" w:hAnsi="Times New Roman"/>
          <w:sz w:val="22"/>
        </w:rPr>
      </w:pPr>
    </w:p>
    <w:p w14:paraId="03B03871" w14:textId="7E47237C"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 xml:space="preserve">reviewing </w:t>
      </w:r>
      <w:r w:rsidR="00742F77">
        <w:rPr>
          <w:rFonts w:ascii="Times New Roman" w:hAnsi="Times New Roman"/>
          <w:sz w:val="22"/>
          <w:szCs w:val="22"/>
        </w:rPr>
        <w:t xml:space="preserve">and approving </w:t>
      </w:r>
      <w:r w:rsidRPr="00FA307B">
        <w:rPr>
          <w:rFonts w:ascii="Times New Roman" w:hAnsi="Times New Roman"/>
          <w:sz w:val="22"/>
        </w:rPr>
        <w:t>executive compensation disclosure before the Corporation publicly discloses such information</w:t>
      </w:r>
      <w:r w:rsidR="00450C75">
        <w:rPr>
          <w:rFonts w:ascii="Times New Roman" w:hAnsi="Times New Roman"/>
          <w:sz w:val="22"/>
        </w:rPr>
        <w:t>,</w:t>
      </w:r>
      <w:r w:rsidR="00742F77">
        <w:rPr>
          <w:rFonts w:ascii="Times New Roman" w:hAnsi="Times New Roman"/>
          <w:sz w:val="22"/>
          <w:szCs w:val="22"/>
        </w:rPr>
        <w:t xml:space="preserve"> including disclosure set out in the Corporation’s Proxy Statement and Annual Report, as applicable</w:t>
      </w:r>
      <w:r w:rsidRPr="00FA307B">
        <w:rPr>
          <w:rFonts w:ascii="Times New Roman" w:hAnsi="Times New Roman"/>
          <w:sz w:val="22"/>
        </w:rPr>
        <w:t xml:space="preserve">; </w:t>
      </w:r>
    </w:p>
    <w:p w14:paraId="1A71EF71" w14:textId="77777777" w:rsidR="00BD2FCE" w:rsidRPr="00FA307B" w:rsidRDefault="00BD2FCE" w:rsidP="00FA307B">
      <w:pPr>
        <w:pStyle w:val="ListParagraph"/>
        <w:spacing w:after="0"/>
        <w:ind w:left="1440" w:hanging="900"/>
        <w:rPr>
          <w:rFonts w:ascii="Times New Roman" w:hAnsi="Times New Roman"/>
          <w:sz w:val="22"/>
        </w:rPr>
      </w:pPr>
    </w:p>
    <w:p w14:paraId="1FFB71DB" w14:textId="77777777" w:rsidR="00BD2FCE"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reviewing, and approving periodically management’s succession plans for executive management, including specific development plans and career planning for potential successors, and recommending them to the Board;</w:t>
      </w:r>
    </w:p>
    <w:p w14:paraId="0C4BB40E" w14:textId="77777777" w:rsidR="00BD2FCE" w:rsidRPr="00FA307B" w:rsidRDefault="00BD2FCE" w:rsidP="00FA307B">
      <w:pPr>
        <w:pStyle w:val="ListParagraph"/>
        <w:spacing w:after="0"/>
        <w:ind w:left="1440" w:hanging="900"/>
        <w:rPr>
          <w:rFonts w:ascii="Times New Roman" w:hAnsi="Times New Roman"/>
          <w:sz w:val="22"/>
        </w:rPr>
      </w:pPr>
    </w:p>
    <w:p w14:paraId="4F473A3A" w14:textId="42C8492E" w:rsidR="008263E5" w:rsidRPr="00FA307B" w:rsidRDefault="00BD2FCE" w:rsidP="00FA307B">
      <w:pPr>
        <w:pStyle w:val="ListParagraph"/>
        <w:numPr>
          <w:ilvl w:val="5"/>
          <w:numId w:val="4"/>
        </w:numPr>
        <w:spacing w:after="0"/>
        <w:ind w:hanging="900"/>
        <w:rPr>
          <w:rFonts w:ascii="Times New Roman" w:hAnsi="Times New Roman"/>
          <w:sz w:val="22"/>
        </w:rPr>
      </w:pPr>
      <w:r w:rsidRPr="00FA307B">
        <w:rPr>
          <w:rFonts w:ascii="Times New Roman" w:hAnsi="Times New Roman"/>
          <w:sz w:val="22"/>
        </w:rPr>
        <w:t>reviewing and approving for Executive Officers, other than the Chief Executive Officer, all compensation (including salary, incentive compensation plans and equity-based plans)</w:t>
      </w:r>
      <w:r w:rsidR="00531CE4" w:rsidRPr="00FA307B">
        <w:rPr>
          <w:rFonts w:ascii="Times New Roman" w:hAnsi="Times New Roman"/>
          <w:sz w:val="22"/>
        </w:rPr>
        <w:t xml:space="preserve"> </w:t>
      </w:r>
      <w:r w:rsidR="00531CE4">
        <w:rPr>
          <w:rFonts w:ascii="Times New Roman" w:hAnsi="Times New Roman"/>
          <w:sz w:val="22"/>
          <w:szCs w:val="22"/>
        </w:rPr>
        <w:t>taking into account each Executive Officers</w:t>
      </w:r>
      <w:r w:rsidR="00531CE4" w:rsidRPr="00F40411">
        <w:rPr>
          <w:rFonts w:ascii="Times New Roman" w:hAnsi="Times New Roman"/>
          <w:sz w:val="22"/>
          <w:szCs w:val="22"/>
        </w:rPr>
        <w:t xml:space="preserve"> performance in light of </w:t>
      </w:r>
      <w:r w:rsidR="00531CE4">
        <w:rPr>
          <w:rFonts w:ascii="Times New Roman" w:hAnsi="Times New Roman"/>
          <w:sz w:val="22"/>
          <w:szCs w:val="22"/>
        </w:rPr>
        <w:t>the Corporation’s</w:t>
      </w:r>
      <w:r w:rsidR="00531CE4" w:rsidRPr="00F40411">
        <w:rPr>
          <w:rFonts w:ascii="Times New Roman" w:hAnsi="Times New Roman"/>
          <w:sz w:val="22"/>
          <w:szCs w:val="22"/>
        </w:rPr>
        <w:t xml:space="preserve"> corporate goals and objectives</w:t>
      </w:r>
      <w:r w:rsidR="00227B83">
        <w:rPr>
          <w:rFonts w:ascii="Times New Roman" w:hAnsi="Times New Roman"/>
          <w:sz w:val="22"/>
          <w:szCs w:val="22"/>
        </w:rPr>
        <w:t xml:space="preserve"> and</w:t>
      </w:r>
      <w:r w:rsidR="00531CE4">
        <w:rPr>
          <w:rFonts w:ascii="Times New Roman" w:hAnsi="Times New Roman"/>
          <w:sz w:val="22"/>
          <w:szCs w:val="22"/>
        </w:rPr>
        <w:t xml:space="preserve"> </w:t>
      </w:r>
      <w:r w:rsidR="00227B83">
        <w:rPr>
          <w:rFonts w:ascii="Times New Roman" w:hAnsi="Times New Roman"/>
          <w:sz w:val="22"/>
          <w:szCs w:val="22"/>
        </w:rPr>
        <w:t>the most</w:t>
      </w:r>
      <w:r w:rsidR="00531CE4">
        <w:rPr>
          <w:rFonts w:ascii="Times New Roman" w:hAnsi="Times New Roman"/>
          <w:sz w:val="22"/>
          <w:szCs w:val="22"/>
        </w:rPr>
        <w:t xml:space="preserve"> recent shareholder advisory vote on executive compensation as required by Section 14A of the Exchange Act</w:t>
      </w:r>
      <w:r w:rsidR="00531CE4" w:rsidRPr="00F40411">
        <w:rPr>
          <w:rFonts w:ascii="Times New Roman" w:hAnsi="Times New Roman"/>
          <w:sz w:val="22"/>
          <w:szCs w:val="22"/>
        </w:rPr>
        <w:t xml:space="preserve">, </w:t>
      </w:r>
      <w:r w:rsidRPr="00FA307B">
        <w:rPr>
          <w:rFonts w:ascii="Times New Roman" w:hAnsi="Times New Roman"/>
          <w:sz w:val="22"/>
        </w:rPr>
        <w:t xml:space="preserve">and any employment, severance or change in control agreements; </w:t>
      </w:r>
    </w:p>
    <w:p w14:paraId="7A91A54C" w14:textId="77777777" w:rsidR="008263E5" w:rsidRPr="008263E5" w:rsidRDefault="008263E5" w:rsidP="008263E5">
      <w:pPr>
        <w:pStyle w:val="ListParagraph"/>
        <w:rPr>
          <w:rFonts w:ascii="Arial" w:eastAsiaTheme="minorHAnsi" w:hAnsi="Arial" w:cs="Arial"/>
          <w:sz w:val="22"/>
          <w:szCs w:val="22"/>
        </w:rPr>
      </w:pPr>
    </w:p>
    <w:p w14:paraId="407F59D5" w14:textId="14B0B5F5" w:rsidR="008263E5" w:rsidRPr="008263E5" w:rsidRDefault="008263E5" w:rsidP="008263E5">
      <w:pPr>
        <w:pStyle w:val="ListParagraph"/>
        <w:numPr>
          <w:ilvl w:val="5"/>
          <w:numId w:val="4"/>
        </w:numPr>
        <w:spacing w:after="0"/>
        <w:ind w:hanging="900"/>
        <w:rPr>
          <w:rFonts w:ascii="Times New Roman" w:hAnsi="Times New Roman"/>
          <w:sz w:val="22"/>
          <w:szCs w:val="22"/>
        </w:rPr>
      </w:pPr>
      <w:r w:rsidRPr="008263E5">
        <w:rPr>
          <w:rFonts w:ascii="Times New Roman" w:eastAsiaTheme="minorHAnsi" w:hAnsi="Times New Roman"/>
          <w:sz w:val="22"/>
          <w:szCs w:val="22"/>
        </w:rPr>
        <w:t xml:space="preserve">reviewing and recommending to the Board for approval the frequency with which the </w:t>
      </w:r>
      <w:r>
        <w:rPr>
          <w:rFonts w:ascii="Times New Roman" w:eastAsiaTheme="minorHAnsi" w:hAnsi="Times New Roman"/>
          <w:sz w:val="22"/>
          <w:szCs w:val="22"/>
        </w:rPr>
        <w:t>Corporation</w:t>
      </w:r>
      <w:r w:rsidRPr="008263E5">
        <w:rPr>
          <w:rFonts w:ascii="Times New Roman" w:eastAsiaTheme="minorHAnsi" w:hAnsi="Times New Roman"/>
          <w:sz w:val="22"/>
          <w:szCs w:val="22"/>
        </w:rPr>
        <w:t xml:space="preserve"> will conduct a shareholder advisory vote on the executive compensation (“Say on Pay Vote”) required by Section 14A of the Exchange Act, </w:t>
      </w:r>
      <w:r w:rsidR="00834B1D">
        <w:rPr>
          <w:rFonts w:ascii="Times New Roman" w:eastAsiaTheme="minorHAnsi" w:hAnsi="Times New Roman"/>
          <w:sz w:val="22"/>
          <w:szCs w:val="22"/>
        </w:rPr>
        <w:t xml:space="preserve">if applicable, </w:t>
      </w:r>
      <w:r w:rsidRPr="008263E5">
        <w:rPr>
          <w:rFonts w:ascii="Times New Roman" w:eastAsiaTheme="minorHAnsi" w:hAnsi="Times New Roman"/>
          <w:sz w:val="22"/>
          <w:szCs w:val="22"/>
        </w:rPr>
        <w:t xml:space="preserve">taking into account the results of the most recent stockholder advisory vote on frequency of Say on Pay Votes required by Section 14A of the Exchange Act, </w:t>
      </w:r>
      <w:r w:rsidR="00834B1D">
        <w:rPr>
          <w:rFonts w:ascii="Times New Roman" w:eastAsiaTheme="minorHAnsi" w:hAnsi="Times New Roman"/>
          <w:sz w:val="22"/>
          <w:szCs w:val="22"/>
        </w:rPr>
        <w:t xml:space="preserve">if applicable, </w:t>
      </w:r>
      <w:r w:rsidRPr="008263E5">
        <w:rPr>
          <w:rFonts w:ascii="Times New Roman" w:eastAsiaTheme="minorHAnsi" w:hAnsi="Times New Roman"/>
          <w:sz w:val="22"/>
          <w:szCs w:val="22"/>
        </w:rPr>
        <w:t xml:space="preserve">and review and approve the proposals regarding the Say on Pay Vote and the frequency of the Say on Pay Vote to be included in the </w:t>
      </w:r>
      <w:r>
        <w:rPr>
          <w:rFonts w:ascii="Times New Roman" w:eastAsiaTheme="minorHAnsi" w:hAnsi="Times New Roman"/>
          <w:sz w:val="22"/>
          <w:szCs w:val="22"/>
        </w:rPr>
        <w:t>Corporation’s proxy statement</w:t>
      </w:r>
      <w:r w:rsidRPr="008263E5">
        <w:rPr>
          <w:rFonts w:ascii="Times New Roman" w:eastAsiaTheme="minorHAnsi" w:hAnsi="Times New Roman"/>
          <w:sz w:val="22"/>
          <w:szCs w:val="22"/>
        </w:rPr>
        <w:t>;</w:t>
      </w:r>
    </w:p>
    <w:p w14:paraId="70A618B7" w14:textId="77777777" w:rsidR="008263E5" w:rsidRPr="008263E5" w:rsidRDefault="008263E5" w:rsidP="008263E5">
      <w:pPr>
        <w:pStyle w:val="ListParagraph"/>
        <w:rPr>
          <w:rFonts w:ascii="Times New Roman" w:eastAsiaTheme="minorHAnsi" w:hAnsi="Times New Roman"/>
          <w:sz w:val="22"/>
          <w:szCs w:val="22"/>
        </w:rPr>
      </w:pPr>
    </w:p>
    <w:p w14:paraId="2F0F2A9A" w14:textId="118F9AF6" w:rsidR="00227B83" w:rsidRPr="00227B83" w:rsidRDefault="008263E5" w:rsidP="008263E5">
      <w:pPr>
        <w:pStyle w:val="ListParagraph"/>
        <w:numPr>
          <w:ilvl w:val="5"/>
          <w:numId w:val="4"/>
        </w:numPr>
        <w:spacing w:after="0"/>
        <w:ind w:hanging="900"/>
        <w:rPr>
          <w:rFonts w:ascii="Times New Roman" w:hAnsi="Times New Roman"/>
          <w:sz w:val="22"/>
          <w:szCs w:val="22"/>
        </w:rPr>
      </w:pPr>
      <w:r w:rsidRPr="008263E5">
        <w:rPr>
          <w:rFonts w:ascii="Times New Roman" w:eastAsiaTheme="minorHAnsi" w:hAnsi="Times New Roman"/>
          <w:sz w:val="22"/>
          <w:szCs w:val="22"/>
        </w:rPr>
        <w:t>reviewing the results of any Say on Pay Vote</w:t>
      </w:r>
      <w:r w:rsidR="00834B1D">
        <w:rPr>
          <w:rFonts w:ascii="Times New Roman" w:eastAsiaTheme="minorHAnsi" w:hAnsi="Times New Roman"/>
          <w:sz w:val="22"/>
          <w:szCs w:val="22"/>
        </w:rPr>
        <w:t xml:space="preserve">, if applicable, </w:t>
      </w:r>
      <w:r w:rsidRPr="008263E5">
        <w:rPr>
          <w:rFonts w:ascii="Times New Roman" w:eastAsiaTheme="minorHAnsi" w:hAnsi="Times New Roman"/>
          <w:sz w:val="22"/>
          <w:szCs w:val="22"/>
        </w:rPr>
        <w:t>and consider</w:t>
      </w:r>
      <w:r w:rsidR="00450C75">
        <w:rPr>
          <w:rFonts w:ascii="Times New Roman" w:eastAsiaTheme="minorHAnsi" w:hAnsi="Times New Roman"/>
          <w:sz w:val="22"/>
          <w:szCs w:val="22"/>
        </w:rPr>
        <w:t>ing</w:t>
      </w:r>
      <w:r w:rsidRPr="008263E5">
        <w:rPr>
          <w:rFonts w:ascii="Times New Roman" w:eastAsiaTheme="minorHAnsi" w:hAnsi="Times New Roman"/>
          <w:sz w:val="22"/>
          <w:szCs w:val="22"/>
        </w:rPr>
        <w:t xml:space="preserve"> whether to make or recommend, as appropriate, any adjustments to the </w:t>
      </w:r>
      <w:r>
        <w:rPr>
          <w:rFonts w:ascii="Times New Roman" w:eastAsiaTheme="minorHAnsi" w:hAnsi="Times New Roman"/>
          <w:sz w:val="22"/>
          <w:szCs w:val="22"/>
        </w:rPr>
        <w:t>Corporation’s</w:t>
      </w:r>
      <w:r w:rsidRPr="008263E5">
        <w:rPr>
          <w:rFonts w:ascii="Times New Roman" w:eastAsiaTheme="minorHAnsi" w:hAnsi="Times New Roman"/>
          <w:sz w:val="22"/>
          <w:szCs w:val="22"/>
        </w:rPr>
        <w:t xml:space="preserve"> executive compensation policies and guidelines;</w:t>
      </w:r>
    </w:p>
    <w:p w14:paraId="73E2352D" w14:textId="77777777" w:rsidR="00227B83" w:rsidRPr="00227B83" w:rsidRDefault="00227B83" w:rsidP="00227B83">
      <w:pPr>
        <w:pStyle w:val="ListParagraph"/>
        <w:rPr>
          <w:rFonts w:ascii="Times New Roman" w:eastAsiaTheme="minorHAnsi" w:hAnsi="Times New Roman"/>
          <w:sz w:val="22"/>
          <w:szCs w:val="22"/>
        </w:rPr>
      </w:pPr>
    </w:p>
    <w:p w14:paraId="481EFA61" w14:textId="65754ABE" w:rsidR="008263E5" w:rsidRPr="00227B83" w:rsidRDefault="00227B83" w:rsidP="00227B83">
      <w:pPr>
        <w:pStyle w:val="ListParagraph"/>
        <w:numPr>
          <w:ilvl w:val="5"/>
          <w:numId w:val="4"/>
        </w:numPr>
        <w:spacing w:after="0"/>
        <w:ind w:hanging="900"/>
        <w:rPr>
          <w:rFonts w:ascii="Times New Roman" w:hAnsi="Times New Roman"/>
          <w:sz w:val="22"/>
          <w:szCs w:val="22"/>
        </w:rPr>
      </w:pPr>
      <w:r w:rsidRPr="00F40411">
        <w:rPr>
          <w:rFonts w:ascii="Times New Roman" w:hAnsi="Times New Roman"/>
          <w:sz w:val="22"/>
          <w:szCs w:val="22"/>
        </w:rPr>
        <w:t xml:space="preserve">reviewing and recommending for approval </w:t>
      </w:r>
      <w:r>
        <w:rPr>
          <w:rFonts w:ascii="Times New Roman" w:hAnsi="Times New Roman"/>
          <w:sz w:val="22"/>
          <w:szCs w:val="22"/>
        </w:rPr>
        <w:t>compensatory grants</w:t>
      </w:r>
      <w:r w:rsidRPr="00F40411">
        <w:rPr>
          <w:rFonts w:ascii="Times New Roman" w:hAnsi="Times New Roman"/>
          <w:sz w:val="22"/>
          <w:szCs w:val="22"/>
        </w:rPr>
        <w:t xml:space="preserve"> pursuant to the Corporation’s </w:t>
      </w:r>
      <w:r>
        <w:rPr>
          <w:rFonts w:ascii="Times New Roman" w:hAnsi="Times New Roman"/>
          <w:sz w:val="22"/>
          <w:szCs w:val="22"/>
        </w:rPr>
        <w:t>equity incentive compensation</w:t>
      </w:r>
      <w:r w:rsidRPr="00F40411">
        <w:rPr>
          <w:rFonts w:ascii="Times New Roman" w:hAnsi="Times New Roman"/>
          <w:sz w:val="22"/>
          <w:szCs w:val="22"/>
        </w:rPr>
        <w:t xml:space="preserve"> plan</w:t>
      </w:r>
      <w:r>
        <w:rPr>
          <w:rFonts w:ascii="Times New Roman" w:hAnsi="Times New Roman"/>
          <w:sz w:val="22"/>
          <w:szCs w:val="22"/>
        </w:rPr>
        <w:t xml:space="preserve"> after considering the results of the most recent Say on Pay Vote</w:t>
      </w:r>
      <w:r w:rsidR="00834B1D">
        <w:rPr>
          <w:rFonts w:ascii="Times New Roman" w:hAnsi="Times New Roman"/>
          <w:sz w:val="22"/>
          <w:szCs w:val="22"/>
        </w:rPr>
        <w:t>, if applicable</w:t>
      </w:r>
      <w:r w:rsidRPr="00F40411">
        <w:rPr>
          <w:rFonts w:ascii="Times New Roman" w:hAnsi="Times New Roman"/>
          <w:sz w:val="22"/>
          <w:szCs w:val="22"/>
        </w:rPr>
        <w:t>;</w:t>
      </w:r>
      <w:r>
        <w:rPr>
          <w:rFonts w:ascii="Times New Roman" w:hAnsi="Times New Roman"/>
          <w:sz w:val="22"/>
          <w:szCs w:val="22"/>
        </w:rPr>
        <w:t xml:space="preserve"> </w:t>
      </w:r>
      <w:r w:rsidR="008263E5" w:rsidRPr="00227B83">
        <w:rPr>
          <w:rFonts w:ascii="Times New Roman" w:eastAsiaTheme="minorHAnsi" w:hAnsi="Times New Roman"/>
          <w:sz w:val="22"/>
          <w:szCs w:val="22"/>
        </w:rPr>
        <w:t>and</w:t>
      </w:r>
    </w:p>
    <w:p w14:paraId="67783EF7" w14:textId="77777777" w:rsidR="008263E5" w:rsidRPr="00FA307B" w:rsidRDefault="008263E5" w:rsidP="00FA307B">
      <w:pPr>
        <w:pStyle w:val="ListParagraph"/>
        <w:rPr>
          <w:rFonts w:ascii="Times New Roman" w:hAnsi="Times New Roman"/>
          <w:sz w:val="22"/>
          <w:lang w:val="en-CA"/>
        </w:rPr>
      </w:pPr>
    </w:p>
    <w:p w14:paraId="0B1480DF" w14:textId="77777777" w:rsidR="00BD2FCE" w:rsidRPr="00FA307B" w:rsidRDefault="00BD2FCE" w:rsidP="00FA307B">
      <w:pPr>
        <w:pStyle w:val="ListParagraph"/>
        <w:numPr>
          <w:ilvl w:val="5"/>
          <w:numId w:val="4"/>
        </w:numPr>
        <w:spacing w:after="0"/>
        <w:ind w:hanging="900"/>
        <w:rPr>
          <w:rFonts w:ascii="Times New Roman" w:hAnsi="Times New Roman"/>
          <w:sz w:val="22"/>
        </w:rPr>
      </w:pPr>
      <w:proofErr w:type="gramStart"/>
      <w:r w:rsidRPr="00FA307B">
        <w:rPr>
          <w:rFonts w:ascii="Times New Roman" w:hAnsi="Times New Roman"/>
          <w:sz w:val="22"/>
          <w:lang w:val="en-CA"/>
        </w:rPr>
        <w:t>such</w:t>
      </w:r>
      <w:proofErr w:type="gramEnd"/>
      <w:r w:rsidRPr="00FA307B">
        <w:rPr>
          <w:rFonts w:ascii="Times New Roman" w:hAnsi="Times New Roman"/>
          <w:sz w:val="22"/>
          <w:lang w:val="en-CA"/>
        </w:rPr>
        <w:t xml:space="preserve"> other powers and duties as delegated to it by the Board in order to carry out its responsibilities.</w:t>
      </w:r>
    </w:p>
    <w:p w14:paraId="2CA09725" w14:textId="77777777" w:rsidR="00BD2FCE" w:rsidRPr="00FA307B" w:rsidRDefault="00BD2FCE">
      <w:pPr>
        <w:pStyle w:val="ListParagraph"/>
        <w:spacing w:after="0"/>
        <w:ind w:left="360"/>
        <w:rPr>
          <w:rFonts w:ascii="Times New Roman" w:hAnsi="Times New Roman"/>
          <w:b/>
          <w:sz w:val="22"/>
        </w:rPr>
      </w:pPr>
    </w:p>
    <w:p w14:paraId="27D33FC2"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Appointment and Term of Committee Members</w:t>
      </w:r>
    </w:p>
    <w:p w14:paraId="6E41BCBB" w14:textId="77777777" w:rsidR="00BD2FCE" w:rsidRPr="00FA307B" w:rsidRDefault="00BD2FCE">
      <w:pPr>
        <w:pStyle w:val="ListParagraph"/>
        <w:spacing w:after="0"/>
        <w:ind w:left="360"/>
        <w:rPr>
          <w:rFonts w:ascii="Times New Roman" w:hAnsi="Times New Roman"/>
          <w:sz w:val="22"/>
        </w:rPr>
      </w:pPr>
    </w:p>
    <w:p w14:paraId="6AF2482B"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The </w:t>
      </w:r>
      <w:proofErr w:type="gramStart"/>
      <w:r w:rsidRPr="00FA307B">
        <w:rPr>
          <w:rFonts w:ascii="Times New Roman" w:hAnsi="Times New Roman"/>
          <w:sz w:val="22"/>
        </w:rPr>
        <w:t>members of the Committee shall be appointed by the Board on the recommendation of the Corporation’s Governance and Nominating Committee (the “GN Committee”) and the Chair of the Board of the Corporation</w:t>
      </w:r>
      <w:proofErr w:type="gramEnd"/>
      <w:r w:rsidRPr="00FA307B">
        <w:rPr>
          <w:rFonts w:ascii="Times New Roman" w:hAnsi="Times New Roman"/>
          <w:sz w:val="22"/>
        </w:rPr>
        <w:t>.  The members of the Committee shall be appointed annually at the time of each annual meeting of shareholders, and shall hold office until the next annual meeting, or until they are removed by the Board or their successors are earlier appointed, or until they cease to be directors of the Corporation.</w:t>
      </w:r>
    </w:p>
    <w:p w14:paraId="6BC78BBC" w14:textId="4D388FBB" w:rsidR="00834B1D" w:rsidRDefault="00834B1D">
      <w:pPr>
        <w:spacing w:after="200" w:line="276" w:lineRule="auto"/>
        <w:jc w:val="left"/>
        <w:rPr>
          <w:rFonts w:ascii="Times New Roman" w:hAnsi="Times New Roman"/>
          <w:sz w:val="22"/>
        </w:rPr>
      </w:pPr>
      <w:r>
        <w:rPr>
          <w:rFonts w:ascii="Times New Roman" w:hAnsi="Times New Roman"/>
          <w:sz w:val="22"/>
        </w:rPr>
        <w:br w:type="page"/>
      </w:r>
    </w:p>
    <w:p w14:paraId="0DEED3E6" w14:textId="77777777" w:rsidR="00BD2FCE" w:rsidRPr="00FA307B" w:rsidRDefault="00BD2FCE">
      <w:pPr>
        <w:pStyle w:val="ListParagraph"/>
        <w:spacing w:after="0"/>
        <w:ind w:left="360"/>
        <w:rPr>
          <w:rFonts w:ascii="Times New Roman" w:hAnsi="Times New Roman"/>
          <w:sz w:val="22"/>
        </w:rPr>
      </w:pPr>
    </w:p>
    <w:p w14:paraId="61489DB6"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Composition of Committee/Member Qualifications</w:t>
      </w:r>
    </w:p>
    <w:p w14:paraId="39D7370B" w14:textId="77777777" w:rsidR="00BD2FCE" w:rsidRPr="00FA307B" w:rsidRDefault="00BD2FCE">
      <w:pPr>
        <w:spacing w:after="0"/>
        <w:rPr>
          <w:rFonts w:ascii="Times New Roman" w:hAnsi="Times New Roman"/>
          <w:sz w:val="22"/>
        </w:rPr>
      </w:pPr>
    </w:p>
    <w:p w14:paraId="1067785E" w14:textId="24870277" w:rsidR="00BD2FCE" w:rsidRPr="00FA307B" w:rsidRDefault="00BD2FCE">
      <w:pPr>
        <w:spacing w:after="0"/>
        <w:rPr>
          <w:rFonts w:ascii="Times New Roman" w:hAnsi="Times New Roman"/>
          <w:sz w:val="22"/>
        </w:rPr>
      </w:pPr>
      <w:r w:rsidRPr="00FA307B">
        <w:rPr>
          <w:rFonts w:ascii="Times New Roman" w:hAnsi="Times New Roman"/>
          <w:sz w:val="22"/>
        </w:rPr>
        <w:t xml:space="preserve">The Committee shall have at least three members.  All members of the Committee shall be “independent” directors within the meaning of National Policy 58-201 and Section 805 of the NYSE </w:t>
      </w:r>
      <w:r w:rsidR="007C166E">
        <w:rPr>
          <w:rFonts w:ascii="Times New Roman" w:hAnsi="Times New Roman"/>
          <w:sz w:val="22"/>
        </w:rPr>
        <w:t>American</w:t>
      </w:r>
      <w:r w:rsidRPr="00FA307B">
        <w:rPr>
          <w:rFonts w:ascii="Times New Roman" w:hAnsi="Times New Roman"/>
          <w:sz w:val="22"/>
        </w:rPr>
        <w:t xml:space="preserve"> Company Guide.</w:t>
      </w:r>
    </w:p>
    <w:p w14:paraId="6C8159AE" w14:textId="77777777" w:rsidR="00BD2FCE" w:rsidRPr="00FA307B" w:rsidRDefault="00BD2FCE">
      <w:pPr>
        <w:spacing w:after="0"/>
        <w:rPr>
          <w:rFonts w:ascii="Times New Roman" w:hAnsi="Times New Roman"/>
          <w:sz w:val="22"/>
        </w:rPr>
      </w:pPr>
    </w:p>
    <w:p w14:paraId="395A5682"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Vacancies</w:t>
      </w:r>
    </w:p>
    <w:p w14:paraId="59B57B16" w14:textId="77777777" w:rsidR="00BD2FCE" w:rsidRPr="00FA307B" w:rsidRDefault="00BD2FCE">
      <w:pPr>
        <w:pStyle w:val="ListParagraph"/>
        <w:spacing w:after="0"/>
        <w:ind w:left="360"/>
        <w:rPr>
          <w:rFonts w:ascii="Times New Roman" w:hAnsi="Times New Roman"/>
          <w:sz w:val="22"/>
        </w:rPr>
      </w:pPr>
    </w:p>
    <w:p w14:paraId="223FEE3C"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Where a vacancy occurs at any time in the membership of the Committee, it </w:t>
      </w:r>
      <w:proofErr w:type="gramStart"/>
      <w:r w:rsidRPr="00FA307B">
        <w:rPr>
          <w:rFonts w:ascii="Times New Roman" w:hAnsi="Times New Roman"/>
          <w:sz w:val="22"/>
        </w:rPr>
        <w:t>may be filled</w:t>
      </w:r>
      <w:proofErr w:type="gramEnd"/>
      <w:r w:rsidRPr="00FA307B">
        <w:rPr>
          <w:rFonts w:ascii="Times New Roman" w:hAnsi="Times New Roman"/>
          <w:sz w:val="22"/>
        </w:rPr>
        <w:t xml:space="preserve"> by the Board on the recommendation of the GN Committee and the Chair of the Board of the Corporation, and shall be filled by the Board on such recommendation if the membership of the Committee is fewer than three directors.  The Board may remove and replace any member of the Committee.</w:t>
      </w:r>
    </w:p>
    <w:p w14:paraId="09A33537" w14:textId="77777777" w:rsidR="00BD2FCE" w:rsidRPr="00FA307B" w:rsidRDefault="00BD2FCE">
      <w:pPr>
        <w:pStyle w:val="ListParagraph"/>
        <w:spacing w:after="0"/>
        <w:ind w:left="360"/>
        <w:rPr>
          <w:rFonts w:ascii="Times New Roman" w:hAnsi="Times New Roman"/>
          <w:sz w:val="22"/>
        </w:rPr>
      </w:pPr>
    </w:p>
    <w:p w14:paraId="553D220C"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Committee Chair</w:t>
      </w:r>
    </w:p>
    <w:p w14:paraId="25500080" w14:textId="77777777" w:rsidR="00BD2FCE" w:rsidRPr="00FA307B" w:rsidRDefault="00BD2FCE">
      <w:pPr>
        <w:spacing w:after="0"/>
        <w:rPr>
          <w:rFonts w:ascii="Times New Roman" w:hAnsi="Times New Roman"/>
          <w:sz w:val="22"/>
        </w:rPr>
      </w:pPr>
    </w:p>
    <w:p w14:paraId="092FF5B0"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The Chair of the Committee (the “Chair”) </w:t>
      </w:r>
      <w:proofErr w:type="gramStart"/>
      <w:r w:rsidRPr="00FA307B">
        <w:rPr>
          <w:rFonts w:ascii="Times New Roman" w:hAnsi="Times New Roman"/>
          <w:sz w:val="22"/>
        </w:rPr>
        <w:t>shall be selected</w:t>
      </w:r>
      <w:proofErr w:type="gramEnd"/>
      <w:r w:rsidRPr="00FA307B">
        <w:rPr>
          <w:rFonts w:ascii="Times New Roman" w:hAnsi="Times New Roman"/>
          <w:sz w:val="22"/>
        </w:rPr>
        <w:t xml:space="preserve"> by the Board on the recommendation of the GN Committee and the Chair of the Board.  If the Chair is not present at any meeting of the Committee, one of the other members of the Committee present at the meeting </w:t>
      </w:r>
      <w:proofErr w:type="gramStart"/>
      <w:r w:rsidRPr="00FA307B">
        <w:rPr>
          <w:rFonts w:ascii="Times New Roman" w:hAnsi="Times New Roman"/>
          <w:sz w:val="22"/>
        </w:rPr>
        <w:t>shall be chosen</w:t>
      </w:r>
      <w:proofErr w:type="gramEnd"/>
      <w:r w:rsidRPr="00FA307B">
        <w:rPr>
          <w:rFonts w:ascii="Times New Roman" w:hAnsi="Times New Roman"/>
          <w:sz w:val="22"/>
        </w:rPr>
        <w:t xml:space="preserve"> by the Committee to preside at the meeting.</w:t>
      </w:r>
    </w:p>
    <w:p w14:paraId="2C1F5569" w14:textId="77777777" w:rsidR="00BD2FCE" w:rsidRPr="00FA307B" w:rsidRDefault="00BD2FCE">
      <w:pPr>
        <w:spacing w:after="0"/>
        <w:rPr>
          <w:rFonts w:ascii="Times New Roman" w:hAnsi="Times New Roman"/>
          <w:sz w:val="22"/>
        </w:rPr>
      </w:pPr>
    </w:p>
    <w:p w14:paraId="491C5ACF"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Secretary of the Committee</w:t>
      </w:r>
    </w:p>
    <w:p w14:paraId="5FD4A3D8" w14:textId="77777777" w:rsidR="00BD2FCE" w:rsidRPr="00FA307B" w:rsidRDefault="00BD2FCE">
      <w:pPr>
        <w:spacing w:after="0"/>
        <w:rPr>
          <w:rFonts w:ascii="Times New Roman" w:hAnsi="Times New Roman"/>
          <w:sz w:val="22"/>
        </w:rPr>
      </w:pPr>
    </w:p>
    <w:p w14:paraId="7B9E7DD7"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The Corporate Secretary of the Corporation shall be the secretary at each meeting of the Committee.  </w:t>
      </w:r>
      <w:proofErr w:type="gramStart"/>
      <w:r w:rsidRPr="00FA307B">
        <w:rPr>
          <w:rFonts w:ascii="Times New Roman" w:hAnsi="Times New Roman"/>
          <w:sz w:val="22"/>
        </w:rPr>
        <w:t>If the Corporate Secretary is not able to attend the meeting, or is specifically requested not to attend an in-camera meeting or portion thereof, the Committee shall, at the start of the meeting or portion thereof, appoint a secretary who need not be a director of the Corporation for the purposes of recording the minutes of the meeting or portion of the meeting.</w:t>
      </w:r>
      <w:proofErr w:type="gramEnd"/>
    </w:p>
    <w:p w14:paraId="0A4EA249" w14:textId="77777777" w:rsidR="00BD2FCE" w:rsidRPr="00FA307B" w:rsidRDefault="00BD2FCE">
      <w:pPr>
        <w:spacing w:after="0"/>
        <w:rPr>
          <w:rFonts w:ascii="Times New Roman" w:hAnsi="Times New Roman"/>
          <w:sz w:val="22"/>
        </w:rPr>
      </w:pPr>
    </w:p>
    <w:p w14:paraId="05B483B2"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Meetings</w:t>
      </w:r>
    </w:p>
    <w:p w14:paraId="792CE77A" w14:textId="77777777" w:rsidR="00BD2FCE" w:rsidRPr="00FA307B" w:rsidRDefault="00BD2FCE">
      <w:pPr>
        <w:spacing w:after="0"/>
        <w:rPr>
          <w:rFonts w:ascii="Times New Roman" w:hAnsi="Times New Roman"/>
          <w:sz w:val="22"/>
        </w:rPr>
      </w:pPr>
    </w:p>
    <w:p w14:paraId="4AB92CC7"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The Chair, in consultation with the Committee members, shall determine the schedule and frequency of the Committee meetings, </w:t>
      </w:r>
      <w:proofErr w:type="gramStart"/>
      <w:r w:rsidRPr="00FA307B">
        <w:rPr>
          <w:rFonts w:ascii="Times New Roman" w:hAnsi="Times New Roman"/>
          <w:sz w:val="22"/>
        </w:rPr>
        <w:t>provided that</w:t>
      </w:r>
      <w:proofErr w:type="gramEnd"/>
      <w:r w:rsidRPr="00FA307B">
        <w:rPr>
          <w:rFonts w:ascii="Times New Roman" w:hAnsi="Times New Roman"/>
          <w:sz w:val="22"/>
        </w:rPr>
        <w:t xml:space="preserve"> the Committee shall meet at least once per year.  The Committee </w:t>
      </w:r>
      <w:proofErr w:type="gramStart"/>
      <w:r w:rsidRPr="00FA307B">
        <w:rPr>
          <w:rFonts w:ascii="Times New Roman" w:hAnsi="Times New Roman"/>
          <w:sz w:val="22"/>
        </w:rPr>
        <w:t>may at any time meet</w:t>
      </w:r>
      <w:proofErr w:type="gramEnd"/>
      <w:r w:rsidRPr="00FA307B">
        <w:rPr>
          <w:rFonts w:ascii="Times New Roman" w:hAnsi="Times New Roman"/>
          <w:sz w:val="22"/>
        </w:rPr>
        <w:t xml:space="preserve"> with the Chief Executive Officer to discuss any matters that the Committee or Chief Executive Officer believes should be discussed.  The Chief Executive Officer may not be present during the Committee’s voting or deliberations regarding the Chief Executive Officer’s compensation.  The Committee may at any time, and at each regularly scheduled Committee meeting shall, meet without management present.</w:t>
      </w:r>
    </w:p>
    <w:p w14:paraId="3CF7B911" w14:textId="77777777" w:rsidR="00BD2FCE" w:rsidRPr="00FA307B" w:rsidRDefault="00BD2FCE">
      <w:pPr>
        <w:spacing w:after="0"/>
        <w:rPr>
          <w:rFonts w:ascii="Times New Roman" w:hAnsi="Times New Roman"/>
          <w:sz w:val="22"/>
        </w:rPr>
      </w:pPr>
    </w:p>
    <w:p w14:paraId="068394CD" w14:textId="77777777" w:rsidR="00BD2FCE" w:rsidRPr="00FA307B" w:rsidRDefault="00BD2FCE">
      <w:pPr>
        <w:spacing w:after="0"/>
        <w:rPr>
          <w:rFonts w:ascii="Times New Roman" w:hAnsi="Times New Roman"/>
          <w:sz w:val="22"/>
        </w:rPr>
      </w:pPr>
      <w:r w:rsidRPr="00FA307B">
        <w:rPr>
          <w:rFonts w:ascii="Times New Roman" w:hAnsi="Times New Roman"/>
          <w:sz w:val="22"/>
        </w:rPr>
        <w:t>The Chair, any two members of the Committee or Chief Executive Officer of the Corporation may call a special meeting of the Committee.</w:t>
      </w:r>
    </w:p>
    <w:p w14:paraId="00F024DD" w14:textId="77777777" w:rsidR="00BD2FCE" w:rsidRPr="00FA307B" w:rsidRDefault="00BD2FCE">
      <w:pPr>
        <w:spacing w:after="0"/>
        <w:rPr>
          <w:rFonts w:ascii="Times New Roman" w:hAnsi="Times New Roman"/>
          <w:sz w:val="22"/>
        </w:rPr>
      </w:pPr>
    </w:p>
    <w:p w14:paraId="17C2E218"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Quorum</w:t>
      </w:r>
    </w:p>
    <w:p w14:paraId="2A6861DA" w14:textId="77777777" w:rsidR="00BD2FCE" w:rsidRPr="00FA307B" w:rsidRDefault="00BD2FCE">
      <w:pPr>
        <w:spacing w:after="0"/>
        <w:rPr>
          <w:rFonts w:ascii="Times New Roman" w:hAnsi="Times New Roman"/>
          <w:sz w:val="22"/>
        </w:rPr>
      </w:pPr>
    </w:p>
    <w:p w14:paraId="017EB0D8" w14:textId="77777777" w:rsidR="00BD2FCE" w:rsidRPr="00FA307B" w:rsidRDefault="00BD2FCE">
      <w:pPr>
        <w:spacing w:after="0"/>
        <w:rPr>
          <w:rFonts w:ascii="Times New Roman" w:hAnsi="Times New Roman"/>
          <w:sz w:val="22"/>
        </w:rPr>
      </w:pPr>
      <w:r w:rsidRPr="00FA307B">
        <w:rPr>
          <w:rFonts w:ascii="Times New Roman" w:hAnsi="Times New Roman"/>
          <w:sz w:val="22"/>
        </w:rPr>
        <w:t>Two members of the Committee, present in person or by telephone or other telecommunication device that permits all persons participating in the meeting to speak to each other, shall constitute a quorum.</w:t>
      </w:r>
    </w:p>
    <w:p w14:paraId="7452F29E" w14:textId="77777777" w:rsidR="00BD2FCE" w:rsidRPr="00FA307B" w:rsidRDefault="00BD2FCE">
      <w:pPr>
        <w:spacing w:after="0"/>
        <w:rPr>
          <w:rFonts w:ascii="Times New Roman" w:hAnsi="Times New Roman"/>
          <w:sz w:val="22"/>
        </w:rPr>
      </w:pPr>
    </w:p>
    <w:p w14:paraId="2D329D09"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Notice of Meetings</w:t>
      </w:r>
    </w:p>
    <w:p w14:paraId="09BF32D2" w14:textId="77777777" w:rsidR="00BD2FCE" w:rsidRPr="00FA307B" w:rsidRDefault="00BD2FCE">
      <w:pPr>
        <w:spacing w:after="0"/>
        <w:rPr>
          <w:rFonts w:ascii="Times New Roman" w:hAnsi="Times New Roman"/>
          <w:sz w:val="22"/>
        </w:rPr>
      </w:pPr>
    </w:p>
    <w:p w14:paraId="070D5FE2" w14:textId="77777777" w:rsidR="00BD2FCE" w:rsidRPr="00FA307B" w:rsidRDefault="00BD2FCE">
      <w:pPr>
        <w:spacing w:after="0"/>
        <w:rPr>
          <w:rFonts w:ascii="Times New Roman" w:hAnsi="Times New Roman"/>
          <w:sz w:val="22"/>
        </w:rPr>
      </w:pPr>
      <w:proofErr w:type="gramStart"/>
      <w:r w:rsidRPr="00FA307B">
        <w:rPr>
          <w:rFonts w:ascii="Times New Roman" w:hAnsi="Times New Roman"/>
          <w:sz w:val="22"/>
        </w:rPr>
        <w:t>Notice of the time and place of every meeting shall be given in writing or by e-mail</w:t>
      </w:r>
      <w:r w:rsidRPr="00F40411">
        <w:rPr>
          <w:rFonts w:ascii="Times New Roman" w:hAnsi="Times New Roman"/>
          <w:sz w:val="22"/>
          <w:szCs w:val="22"/>
        </w:rPr>
        <w:t xml:space="preserve"> or facsimile</w:t>
      </w:r>
      <w:r w:rsidRPr="00FA307B">
        <w:rPr>
          <w:rFonts w:ascii="Times New Roman" w:hAnsi="Times New Roman"/>
          <w:sz w:val="22"/>
        </w:rPr>
        <w:t xml:space="preserve"> communication to each member of the Committee at least 48 hours prior to the time fixed for such meeting; </w:t>
      </w:r>
      <w:r w:rsidRPr="00FA307B">
        <w:rPr>
          <w:rFonts w:ascii="Times New Roman" w:hAnsi="Times New Roman"/>
          <w:sz w:val="22"/>
        </w:rPr>
        <w:lastRenderedPageBreak/>
        <w:t>provided, however, that a member may waive notice of a meeting, and attendance of a member at a meeting is a waiver of notice of the meeting, except where a member attends a meeting for the express purpose of objecting to the transaction of any business on the grounds that the meeting is not lawfully called.</w:t>
      </w:r>
      <w:proofErr w:type="gramEnd"/>
    </w:p>
    <w:p w14:paraId="2724206B" w14:textId="77777777" w:rsidR="00BD2FCE" w:rsidRPr="00FA307B" w:rsidRDefault="00BD2FCE">
      <w:pPr>
        <w:spacing w:after="0"/>
        <w:rPr>
          <w:rFonts w:ascii="Times New Roman" w:hAnsi="Times New Roman"/>
          <w:sz w:val="22"/>
        </w:rPr>
      </w:pPr>
    </w:p>
    <w:p w14:paraId="2FFC6F01"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Agenda</w:t>
      </w:r>
    </w:p>
    <w:p w14:paraId="023B53CE" w14:textId="77777777" w:rsidR="00BD2FCE" w:rsidRPr="00FA307B" w:rsidRDefault="00BD2FCE">
      <w:pPr>
        <w:spacing w:after="0"/>
        <w:rPr>
          <w:rFonts w:ascii="Times New Roman" w:hAnsi="Times New Roman"/>
          <w:sz w:val="22"/>
        </w:rPr>
      </w:pPr>
    </w:p>
    <w:p w14:paraId="390AC287" w14:textId="77777777" w:rsidR="00BD2FCE" w:rsidRPr="00FA307B" w:rsidRDefault="00BD2FCE">
      <w:pPr>
        <w:spacing w:after="0"/>
        <w:rPr>
          <w:rFonts w:ascii="Times New Roman" w:hAnsi="Times New Roman"/>
          <w:sz w:val="22"/>
        </w:rPr>
      </w:pPr>
      <w:r w:rsidRPr="00FA307B">
        <w:rPr>
          <w:rFonts w:ascii="Times New Roman" w:hAnsi="Times New Roman"/>
          <w:sz w:val="22"/>
        </w:rPr>
        <w:t xml:space="preserve">The Chair shall approve the Committee’s agenda.  </w:t>
      </w:r>
      <w:proofErr w:type="gramStart"/>
      <w:r w:rsidRPr="00FA307B">
        <w:rPr>
          <w:rFonts w:ascii="Times New Roman" w:hAnsi="Times New Roman"/>
          <w:sz w:val="22"/>
        </w:rPr>
        <w:t>The agenda and information concerning the business to be conducted at each Committee meeting shall, to the extent practical, be communicated</w:t>
      </w:r>
      <w:proofErr w:type="gramEnd"/>
      <w:r w:rsidRPr="00FA307B">
        <w:rPr>
          <w:rFonts w:ascii="Times New Roman" w:hAnsi="Times New Roman"/>
          <w:sz w:val="22"/>
        </w:rPr>
        <w:t xml:space="preserve"> to the members of the Committee sufficiently in advance of each meeting to permit meaningful review.</w:t>
      </w:r>
    </w:p>
    <w:p w14:paraId="6CD593D4" w14:textId="77777777" w:rsidR="00BD2FCE" w:rsidRPr="00FA307B" w:rsidRDefault="00BD2FCE">
      <w:pPr>
        <w:spacing w:after="0"/>
        <w:rPr>
          <w:rFonts w:ascii="Times New Roman" w:hAnsi="Times New Roman"/>
          <w:sz w:val="22"/>
        </w:rPr>
      </w:pPr>
    </w:p>
    <w:p w14:paraId="5895143D"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Delegation</w:t>
      </w:r>
    </w:p>
    <w:p w14:paraId="6A365B79" w14:textId="77777777" w:rsidR="00BD2FCE" w:rsidRPr="00FA307B" w:rsidRDefault="00BD2FCE">
      <w:pPr>
        <w:spacing w:after="0"/>
        <w:rPr>
          <w:rFonts w:ascii="Times New Roman" w:hAnsi="Times New Roman"/>
          <w:sz w:val="22"/>
        </w:rPr>
      </w:pPr>
    </w:p>
    <w:p w14:paraId="42601FB4" w14:textId="77777777" w:rsidR="00BD2FCE" w:rsidRDefault="00BD2FCE">
      <w:pPr>
        <w:spacing w:after="0"/>
        <w:rPr>
          <w:rFonts w:ascii="Times New Roman" w:hAnsi="Times New Roman"/>
          <w:sz w:val="22"/>
        </w:rPr>
      </w:pPr>
      <w:r w:rsidRPr="00FA307B">
        <w:rPr>
          <w:rFonts w:ascii="Times New Roman" w:hAnsi="Times New Roman"/>
          <w:sz w:val="22"/>
        </w:rPr>
        <w:t xml:space="preserve">The Committee shall have the power to delegate its authority and duties to subcommittees or individual members of the </w:t>
      </w:r>
      <w:proofErr w:type="gramStart"/>
      <w:r w:rsidRPr="00FA307B">
        <w:rPr>
          <w:rFonts w:ascii="Times New Roman" w:hAnsi="Times New Roman"/>
          <w:sz w:val="22"/>
        </w:rPr>
        <w:t>Committee</w:t>
      </w:r>
      <w:proofErr w:type="gramEnd"/>
      <w:r w:rsidRPr="00FA307B">
        <w:rPr>
          <w:rFonts w:ascii="Times New Roman" w:hAnsi="Times New Roman"/>
          <w:sz w:val="22"/>
        </w:rPr>
        <w:t xml:space="preserve"> as it considers appropriate.</w:t>
      </w:r>
    </w:p>
    <w:p w14:paraId="6CD069E7" w14:textId="77777777" w:rsidR="00834B1D" w:rsidRPr="00FA307B" w:rsidRDefault="00834B1D">
      <w:pPr>
        <w:spacing w:after="0"/>
        <w:rPr>
          <w:rFonts w:ascii="Times New Roman" w:hAnsi="Times New Roman"/>
          <w:sz w:val="22"/>
        </w:rPr>
      </w:pPr>
    </w:p>
    <w:p w14:paraId="14270A8B"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Attendance of Officers at a Meeting</w:t>
      </w:r>
    </w:p>
    <w:p w14:paraId="38CC3A28" w14:textId="77777777" w:rsidR="00BD2FCE" w:rsidRPr="00FA307B" w:rsidRDefault="00BD2FCE">
      <w:pPr>
        <w:spacing w:after="0"/>
        <w:rPr>
          <w:rFonts w:ascii="Times New Roman" w:hAnsi="Times New Roman"/>
          <w:sz w:val="22"/>
        </w:rPr>
      </w:pPr>
    </w:p>
    <w:p w14:paraId="0DDFEB33" w14:textId="77777777" w:rsidR="00BD2FCE" w:rsidRPr="00FA307B" w:rsidRDefault="00BD2FCE">
      <w:pPr>
        <w:spacing w:after="0"/>
        <w:rPr>
          <w:rFonts w:ascii="Times New Roman" w:hAnsi="Times New Roman"/>
          <w:sz w:val="22"/>
        </w:rPr>
      </w:pPr>
      <w:r w:rsidRPr="00FA307B">
        <w:rPr>
          <w:rFonts w:ascii="Times New Roman" w:hAnsi="Times New Roman"/>
          <w:sz w:val="22"/>
        </w:rPr>
        <w:t>At the invitation of the Chair, one or more officers or employees of the Corporation may, and if required by the Committee shall, attend a meeting of the Committee.</w:t>
      </w:r>
    </w:p>
    <w:p w14:paraId="624EAEC2" w14:textId="77777777" w:rsidR="00BD2FCE" w:rsidRPr="00FA307B" w:rsidRDefault="00BD2FCE">
      <w:pPr>
        <w:spacing w:after="0"/>
        <w:rPr>
          <w:rFonts w:ascii="Times New Roman" w:hAnsi="Times New Roman"/>
          <w:sz w:val="22"/>
        </w:rPr>
      </w:pPr>
    </w:p>
    <w:p w14:paraId="7F934142"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Procedure, Records and Reporting</w:t>
      </w:r>
    </w:p>
    <w:p w14:paraId="4F3B79AF" w14:textId="77777777" w:rsidR="00BD2FCE" w:rsidRPr="00FA307B" w:rsidRDefault="00BD2FCE">
      <w:pPr>
        <w:spacing w:after="0"/>
        <w:rPr>
          <w:rFonts w:ascii="Times New Roman" w:hAnsi="Times New Roman"/>
          <w:sz w:val="22"/>
        </w:rPr>
      </w:pPr>
    </w:p>
    <w:p w14:paraId="37B82064" w14:textId="77777777" w:rsidR="00BD2FCE" w:rsidRPr="00FA307B" w:rsidRDefault="00BD2FCE">
      <w:pPr>
        <w:spacing w:after="0"/>
        <w:rPr>
          <w:rFonts w:ascii="Times New Roman" w:hAnsi="Times New Roman"/>
          <w:sz w:val="22"/>
        </w:rPr>
      </w:pPr>
      <w:r w:rsidRPr="00FA307B">
        <w:rPr>
          <w:rFonts w:ascii="Times New Roman" w:hAnsi="Times New Roman"/>
          <w:sz w:val="22"/>
        </w:rPr>
        <w:t>The Committee shall fix its own procedure at meetings, keep records of its proceedings and report to the Board when the Committee may deem appropriate (but not later than the next meeting of the Board).</w:t>
      </w:r>
    </w:p>
    <w:p w14:paraId="2DBF72CC" w14:textId="77777777" w:rsidR="00BD2FCE" w:rsidRPr="00FA307B" w:rsidRDefault="00BD2FCE">
      <w:pPr>
        <w:spacing w:after="0"/>
        <w:rPr>
          <w:rFonts w:ascii="Times New Roman" w:hAnsi="Times New Roman"/>
          <w:sz w:val="22"/>
        </w:rPr>
      </w:pPr>
    </w:p>
    <w:p w14:paraId="24A3C71D" w14:textId="77777777" w:rsidR="00BD2FCE" w:rsidRPr="00FA307B" w:rsidRDefault="00BD2FCE">
      <w:pPr>
        <w:pStyle w:val="ListParagraph"/>
        <w:numPr>
          <w:ilvl w:val="0"/>
          <w:numId w:val="2"/>
        </w:numPr>
        <w:spacing w:after="0"/>
        <w:rPr>
          <w:rFonts w:ascii="Times New Roman" w:hAnsi="Times New Roman"/>
          <w:b/>
          <w:sz w:val="22"/>
        </w:rPr>
      </w:pPr>
      <w:r w:rsidRPr="00FA307B">
        <w:rPr>
          <w:rFonts w:ascii="Times New Roman" w:hAnsi="Times New Roman"/>
          <w:b/>
          <w:sz w:val="22"/>
        </w:rPr>
        <w:t>Outside Consultants or Advisors</w:t>
      </w:r>
    </w:p>
    <w:p w14:paraId="3A1A768E" w14:textId="77777777" w:rsidR="00BD2FCE" w:rsidRPr="00FA307B" w:rsidRDefault="00BD2FCE">
      <w:pPr>
        <w:spacing w:after="0"/>
        <w:rPr>
          <w:rFonts w:ascii="Times New Roman" w:hAnsi="Times New Roman"/>
          <w:sz w:val="22"/>
        </w:rPr>
      </w:pPr>
    </w:p>
    <w:p w14:paraId="24430951" w14:textId="24F6E5A8" w:rsidR="00585DB6" w:rsidRPr="00FA307B" w:rsidRDefault="00BD2FCE" w:rsidP="00FA307B">
      <w:pPr>
        <w:autoSpaceDE w:val="0"/>
        <w:autoSpaceDN w:val="0"/>
        <w:adjustRightInd w:val="0"/>
        <w:spacing w:after="0"/>
        <w:rPr>
          <w:rFonts w:ascii="Arial" w:eastAsiaTheme="minorHAnsi" w:hAnsi="Arial"/>
          <w:sz w:val="22"/>
        </w:rPr>
      </w:pPr>
      <w:r w:rsidRPr="00FA307B">
        <w:rPr>
          <w:rFonts w:ascii="Times New Roman" w:hAnsi="Times New Roman"/>
          <w:sz w:val="22"/>
        </w:rPr>
        <w:t xml:space="preserve">The Committee, when it considers it necessary or advisable, may retain, at the Corporation’s expense, outside consultants or advisors to assist or advise the Committee independently on any matter within its mandate.  Prior to any engagement, the Committee shall take into account the independence of such consultants or advisors as required pursuant to Section 805 of the NYSE </w:t>
      </w:r>
      <w:r w:rsidR="007C166E">
        <w:rPr>
          <w:rFonts w:ascii="Times New Roman" w:hAnsi="Times New Roman"/>
          <w:sz w:val="22"/>
        </w:rPr>
        <w:t>American</w:t>
      </w:r>
      <w:r w:rsidRPr="00FA307B">
        <w:rPr>
          <w:rFonts w:ascii="Times New Roman" w:hAnsi="Times New Roman"/>
          <w:sz w:val="22"/>
        </w:rPr>
        <w:t xml:space="preserve"> Company Guide</w:t>
      </w:r>
      <w:r w:rsidR="00585DB6" w:rsidRPr="00585DB6">
        <w:rPr>
          <w:rFonts w:ascii="Times New Roman" w:eastAsiaTheme="minorHAnsi" w:hAnsi="Times New Roman"/>
          <w:sz w:val="22"/>
          <w:szCs w:val="22"/>
        </w:rPr>
        <w:t xml:space="preserve"> and Rule 10C-1(b)(4) under the Exchange Act. </w:t>
      </w:r>
      <w:r w:rsidR="00450C75">
        <w:rPr>
          <w:rFonts w:ascii="Times New Roman" w:eastAsiaTheme="minorHAnsi" w:hAnsi="Times New Roman"/>
          <w:sz w:val="22"/>
          <w:szCs w:val="22"/>
        </w:rPr>
        <w:t xml:space="preserve"> </w:t>
      </w:r>
      <w:r w:rsidR="00585DB6" w:rsidRPr="00585DB6">
        <w:rPr>
          <w:rFonts w:ascii="Times New Roman" w:eastAsiaTheme="minorHAnsi" w:hAnsi="Times New Roman"/>
          <w:sz w:val="22"/>
          <w:szCs w:val="22"/>
        </w:rPr>
        <w:t>The Committee shall also evaluate whether any compensation consultant retained or to be retained by it has any conflict of interest in accordance with Item 407(e)(3)(iv) of Regulation S-K</w:t>
      </w:r>
      <w:r w:rsidR="00585DB6" w:rsidRPr="00FA307B">
        <w:rPr>
          <w:rFonts w:ascii="Times New Roman" w:eastAsiaTheme="minorHAnsi" w:hAnsi="Times New Roman"/>
          <w:sz w:val="22"/>
        </w:rPr>
        <w:t>.</w:t>
      </w:r>
    </w:p>
    <w:p w14:paraId="3AC93933" w14:textId="77777777" w:rsidR="00BD2FCE" w:rsidRPr="00FA307B" w:rsidRDefault="00BD2FCE">
      <w:pPr>
        <w:spacing w:after="0"/>
        <w:rPr>
          <w:rFonts w:ascii="Times New Roman" w:hAnsi="Times New Roman"/>
          <w:sz w:val="22"/>
        </w:rPr>
      </w:pPr>
    </w:p>
    <w:p w14:paraId="54A42C06" w14:textId="77777777" w:rsidR="00BD2FCE" w:rsidRPr="00FA307B" w:rsidRDefault="00BD2FCE">
      <w:pPr>
        <w:spacing w:after="0"/>
        <w:rPr>
          <w:rFonts w:ascii="Times New Roman" w:hAnsi="Times New Roman"/>
          <w:sz w:val="22"/>
        </w:rPr>
      </w:pPr>
      <w:proofErr w:type="gramStart"/>
      <w:r w:rsidRPr="00FA307B">
        <w:rPr>
          <w:rFonts w:ascii="Times New Roman" w:hAnsi="Times New Roman"/>
          <w:sz w:val="22"/>
        </w:rPr>
        <w:t>Any director may, with the prior approval of the Chair of the Board, engage an outside advisor at the reasonable expense of the Corporation in circumstances where such director and the Chair of the Board determine that it is appropriate in order for such director to fulfill his or her responsibilities as director, provided that the advice sought cannot properly be provided through the Corporation’s management or through the Corporation’s advisors in the normal course.</w:t>
      </w:r>
      <w:proofErr w:type="gramEnd"/>
      <w:r w:rsidRPr="00FA307B">
        <w:rPr>
          <w:rFonts w:ascii="Times New Roman" w:hAnsi="Times New Roman"/>
          <w:sz w:val="22"/>
        </w:rPr>
        <w:t xml:space="preserve">  If the Chair of the Board is not available in the circumstances, or determines that it is not appropriate for such director </w:t>
      </w:r>
      <w:proofErr w:type="gramStart"/>
      <w:r w:rsidRPr="00FA307B">
        <w:rPr>
          <w:rFonts w:ascii="Times New Roman" w:hAnsi="Times New Roman"/>
          <w:sz w:val="22"/>
        </w:rPr>
        <w:t>to so engage</w:t>
      </w:r>
      <w:proofErr w:type="gramEnd"/>
      <w:r w:rsidRPr="00FA307B">
        <w:rPr>
          <w:rFonts w:ascii="Times New Roman" w:hAnsi="Times New Roman"/>
          <w:sz w:val="22"/>
        </w:rPr>
        <w:t xml:space="preserve"> outside counsel, the director may appeal the matter to the Committee, whose determination shall be final.</w:t>
      </w:r>
    </w:p>
    <w:p w14:paraId="3939BB7F" w14:textId="77777777" w:rsidR="00BD2FCE" w:rsidRPr="00FA307B" w:rsidRDefault="00BD2FCE">
      <w:pPr>
        <w:spacing w:after="0"/>
        <w:rPr>
          <w:rFonts w:ascii="Times New Roman" w:hAnsi="Times New Roman"/>
          <w:sz w:val="22"/>
        </w:rPr>
      </w:pPr>
    </w:p>
    <w:p w14:paraId="76DABE64" w14:textId="77777777" w:rsidR="00A879BE" w:rsidRPr="00FA307B" w:rsidRDefault="00A879BE" w:rsidP="00FA307B"/>
    <w:sectPr w:rsidR="00A879BE" w:rsidRPr="00FA30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978D" w14:textId="77777777" w:rsidR="00604909" w:rsidRDefault="00604909" w:rsidP="00406F6E">
      <w:pPr>
        <w:spacing w:after="0"/>
      </w:pPr>
      <w:r>
        <w:separator/>
      </w:r>
    </w:p>
  </w:endnote>
  <w:endnote w:type="continuationSeparator" w:id="0">
    <w:p w14:paraId="08781FDA" w14:textId="77777777" w:rsidR="00604909" w:rsidRDefault="00604909" w:rsidP="00406F6E">
      <w:pPr>
        <w:spacing w:after="0"/>
      </w:pPr>
      <w:r>
        <w:continuationSeparator/>
      </w:r>
    </w:p>
  </w:endnote>
  <w:endnote w:type="continuationNotice" w:id="1">
    <w:p w14:paraId="2B61C553" w14:textId="77777777" w:rsidR="00604909" w:rsidRDefault="00604909" w:rsidP="00406F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03889"/>
      <w:docPartObj>
        <w:docPartGallery w:val="Page Numbers (Bottom of Page)"/>
        <w:docPartUnique/>
      </w:docPartObj>
    </w:sdtPr>
    <w:sdtEndPr>
      <w:rPr>
        <w:noProof/>
      </w:rPr>
    </w:sdtEndPr>
    <w:sdtContent>
      <w:p w14:paraId="797108EE" w14:textId="49E63C49" w:rsidR="00C05CDB" w:rsidRDefault="00C05CDB">
        <w:pPr>
          <w:pStyle w:val="Footer"/>
          <w:jc w:val="center"/>
        </w:pPr>
        <w:r>
          <w:fldChar w:fldCharType="begin"/>
        </w:r>
        <w:r>
          <w:instrText xml:space="preserve"> PAGE   \* MERGEFORMAT </w:instrText>
        </w:r>
        <w:r>
          <w:fldChar w:fldCharType="separate"/>
        </w:r>
        <w:r w:rsidR="00D94C62">
          <w:rPr>
            <w:noProof/>
          </w:rPr>
          <w:t>3</w:t>
        </w:r>
        <w:r>
          <w:rPr>
            <w:noProof/>
          </w:rPr>
          <w:fldChar w:fldCharType="end"/>
        </w:r>
      </w:p>
    </w:sdtContent>
  </w:sdt>
  <w:p w14:paraId="00FD78E0" w14:textId="4FD8DAEE" w:rsidR="00E10B57" w:rsidRPr="00E10B57" w:rsidRDefault="00E10B57" w:rsidP="00FA307B">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15FC1" w14:textId="77777777" w:rsidR="00604909" w:rsidRDefault="00604909" w:rsidP="00406F6E">
      <w:pPr>
        <w:spacing w:after="0"/>
      </w:pPr>
      <w:r>
        <w:separator/>
      </w:r>
    </w:p>
  </w:footnote>
  <w:footnote w:type="continuationSeparator" w:id="0">
    <w:p w14:paraId="6E9D8303" w14:textId="77777777" w:rsidR="00604909" w:rsidRDefault="00604909" w:rsidP="00406F6E">
      <w:pPr>
        <w:spacing w:after="0"/>
      </w:pPr>
      <w:r>
        <w:continuationSeparator/>
      </w:r>
    </w:p>
  </w:footnote>
  <w:footnote w:type="continuationNotice" w:id="1">
    <w:p w14:paraId="4B9871C9" w14:textId="77777777" w:rsidR="00604909" w:rsidRDefault="00604909" w:rsidP="00406F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ADF0" w14:textId="730961C8" w:rsidR="00893E4D" w:rsidRDefault="00893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B40"/>
    <w:multiLevelType w:val="multilevel"/>
    <w:tmpl w:val="16369C7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419DB"/>
    <w:multiLevelType w:val="hybridMultilevel"/>
    <w:tmpl w:val="A9F6AE76"/>
    <w:lvl w:ilvl="0" w:tplc="3CB8B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961F8"/>
    <w:multiLevelType w:val="multilevel"/>
    <w:tmpl w:val="210A081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42616D"/>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4158DD"/>
    <w:multiLevelType w:val="hybridMultilevel"/>
    <w:tmpl w:val="98B00DBA"/>
    <w:lvl w:ilvl="0" w:tplc="AD341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02EE8"/>
    <w:multiLevelType w:val="multilevel"/>
    <w:tmpl w:val="653E7BDC"/>
    <w:lvl w:ilvl="0">
      <w:start w:val="1"/>
      <w:numFmt w:val="upperRoman"/>
      <w:pStyle w:val="Heading1"/>
      <w:suff w:val="nothing"/>
      <w:lvlText w:val="SECTION %1 - "/>
      <w:lvlJc w:val="left"/>
      <w:pPr>
        <w:ind w:left="1350" w:firstLine="0"/>
      </w:pPr>
      <w:rPr>
        <w:rFonts w:ascii="Trebuchet MS" w:hAnsi="Trebuchet M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94"/>
        </w:tabs>
        <w:ind w:left="1094" w:hanging="720"/>
      </w:pPr>
      <w:rPr>
        <w:rFonts w:ascii="Trebuchet MS" w:hAnsi="Trebuchet M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6" w15:restartNumberingAfterBreak="0">
    <w:nsid w:val="2E0B2884"/>
    <w:multiLevelType w:val="hybridMultilevel"/>
    <w:tmpl w:val="2A743244"/>
    <w:lvl w:ilvl="0" w:tplc="C5781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441A0"/>
    <w:multiLevelType w:val="multilevel"/>
    <w:tmpl w:val="602859F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5057AB"/>
    <w:multiLevelType w:val="multilevel"/>
    <w:tmpl w:val="72AC8F4A"/>
    <w:lvl w:ilvl="0">
      <w:start w:val="1"/>
      <w:numFmt w:val="upperRoman"/>
      <w:pStyle w:val="LML1"/>
      <w:lvlText w:val="%1."/>
      <w:lvlJc w:val="left"/>
      <w:pPr>
        <w:tabs>
          <w:tab w:val="num" w:pos="720"/>
        </w:tabs>
        <w:ind w:left="720" w:hanging="720"/>
      </w:pPr>
      <w:rPr>
        <w:rFonts w:hint="default"/>
      </w:rPr>
    </w:lvl>
    <w:lvl w:ilvl="1">
      <w:start w:val="1"/>
      <w:numFmt w:val="decimal"/>
      <w:pStyle w:val="LML2"/>
      <w:lvlText w:val="%2."/>
      <w:lvlJc w:val="left"/>
      <w:pPr>
        <w:tabs>
          <w:tab w:val="num" w:pos="1440"/>
        </w:tabs>
        <w:ind w:left="1440" w:hanging="720"/>
      </w:pPr>
      <w:rPr>
        <w:rFonts w:hint="default"/>
      </w:rPr>
    </w:lvl>
    <w:lvl w:ilvl="2">
      <w:start w:val="1"/>
      <w:numFmt w:val="lowerRoman"/>
      <w:pStyle w:val="LML3"/>
      <w:lvlText w:val="(%3)"/>
      <w:lvlJc w:val="left"/>
      <w:pPr>
        <w:tabs>
          <w:tab w:val="num" w:pos="2160"/>
        </w:tabs>
        <w:ind w:left="2160" w:hanging="720"/>
      </w:pPr>
      <w:rPr>
        <w:rFonts w:hint="default"/>
      </w:rPr>
    </w:lvl>
    <w:lvl w:ilvl="3">
      <w:start w:val="1"/>
      <w:numFmt w:val="decimal"/>
      <w:pStyle w:val="LML4"/>
      <w:lvlText w:val="%4)"/>
      <w:lvlJc w:val="left"/>
      <w:pPr>
        <w:tabs>
          <w:tab w:val="num" w:pos="2880"/>
        </w:tabs>
        <w:ind w:left="2880" w:hanging="720"/>
      </w:pPr>
      <w:rPr>
        <w:rFonts w:ascii="Times New Roman" w:hAnsi="Times New Roman" w:hint="default"/>
        <w:b w:val="0"/>
        <w:i w:val="0"/>
        <w:sz w:val="24"/>
      </w:rPr>
    </w:lvl>
    <w:lvl w:ilvl="4">
      <w:start w:val="1"/>
      <w:numFmt w:val="lowerLetter"/>
      <w:pStyle w:val="LML5"/>
      <w:lvlText w:val="%5)"/>
      <w:lvlJc w:val="left"/>
      <w:pPr>
        <w:tabs>
          <w:tab w:val="num" w:pos="3600"/>
        </w:tabs>
        <w:ind w:left="3600" w:hanging="720"/>
      </w:pPr>
      <w:rPr>
        <w:rFonts w:hint="default"/>
      </w:rPr>
    </w:lvl>
    <w:lvl w:ilvl="5">
      <w:start w:val="1"/>
      <w:numFmt w:val="lowerRoman"/>
      <w:pStyle w:val="LML6"/>
      <w:lvlText w:val="%6)"/>
      <w:lvlJc w:val="left"/>
      <w:pPr>
        <w:tabs>
          <w:tab w:val="num" w:pos="4320"/>
        </w:tabs>
        <w:ind w:left="4320" w:hanging="720"/>
      </w:pPr>
      <w:rPr>
        <w:rFonts w:hint="default"/>
      </w:rPr>
    </w:lvl>
    <w:lvl w:ilvl="6">
      <w:start w:val="1"/>
      <w:numFmt w:val="bullet"/>
      <w:pStyle w:val="LML7"/>
      <w:lvlText w:val=""/>
      <w:lvlJc w:val="left"/>
      <w:pPr>
        <w:tabs>
          <w:tab w:val="num" w:pos="5040"/>
        </w:tabs>
        <w:ind w:left="5040" w:hanging="720"/>
      </w:pPr>
      <w:rPr>
        <w:rFonts w:ascii="Symbol" w:hAnsi="Symbol" w:hint="default"/>
      </w:rPr>
    </w:lvl>
    <w:lvl w:ilvl="7">
      <w:start w:val="1"/>
      <w:numFmt w:val="bullet"/>
      <w:pStyle w:val="LML8"/>
      <w:lvlText w:val="~"/>
      <w:lvlJc w:val="left"/>
      <w:pPr>
        <w:tabs>
          <w:tab w:val="num" w:pos="5760"/>
        </w:tabs>
        <w:ind w:left="5760" w:hanging="720"/>
      </w:pPr>
      <w:rPr>
        <w:rFonts w:ascii="Times New Roman" w:hAnsi="Times New Roman" w:cs="Times New Roman" w:hint="default"/>
      </w:rPr>
    </w:lvl>
    <w:lvl w:ilvl="8">
      <w:start w:val="1"/>
      <w:numFmt w:val="bullet"/>
      <w:pStyle w:val="LML9"/>
      <w:lvlText w:val=""/>
      <w:lvlJc w:val="left"/>
      <w:pPr>
        <w:tabs>
          <w:tab w:val="num" w:pos="6480"/>
        </w:tabs>
        <w:ind w:left="6480" w:hanging="720"/>
      </w:pPr>
      <w:rPr>
        <w:rFonts w:ascii="Symbol" w:hAnsi="Symbol" w:hint="default"/>
        <w:b w:val="0"/>
        <w:i w:val="0"/>
        <w:sz w:val="24"/>
        <w:szCs w:val="24"/>
      </w:rPr>
    </w:lvl>
  </w:abstractNum>
  <w:abstractNum w:abstractNumId="9" w15:restartNumberingAfterBreak="0">
    <w:nsid w:val="57EE0B5A"/>
    <w:multiLevelType w:val="multilevel"/>
    <w:tmpl w:val="AD481180"/>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424D52"/>
    <w:multiLevelType w:val="hybridMultilevel"/>
    <w:tmpl w:val="959E5BA8"/>
    <w:lvl w:ilvl="0" w:tplc="E3AE112A">
      <w:start w:val="1"/>
      <w:numFmt w:val="upperRoman"/>
      <w:lvlText w:val="%1."/>
      <w:lvlJc w:val="left"/>
      <w:pPr>
        <w:ind w:left="1440" w:hanging="720"/>
      </w:pPr>
      <w:rPr>
        <w:rFonts w:hint="default"/>
      </w:rPr>
    </w:lvl>
    <w:lvl w:ilvl="1" w:tplc="BF84B750">
      <w:start w:val="1"/>
      <w:numFmt w:val="lowerLetter"/>
      <w:lvlText w:val="(%2)"/>
      <w:lvlJc w:val="left"/>
      <w:pPr>
        <w:ind w:left="2160" w:hanging="720"/>
      </w:pPr>
      <w:rPr>
        <w:rFonts w:hint="default"/>
      </w:rPr>
    </w:lvl>
    <w:lvl w:ilvl="2" w:tplc="D6D2F418">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CF4FEC"/>
    <w:multiLevelType w:val="hybridMultilevel"/>
    <w:tmpl w:val="7FEA9094"/>
    <w:lvl w:ilvl="0" w:tplc="2B7C9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54151E"/>
    <w:multiLevelType w:val="multilevel"/>
    <w:tmpl w:val="602859F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BF0C7C"/>
    <w:multiLevelType w:val="multilevel"/>
    <w:tmpl w:val="6980CB28"/>
    <w:lvl w:ilvl="0">
      <w:start w:val="1"/>
      <w:numFmt w:val="bullet"/>
      <w:pStyle w:val="LMBullet1"/>
      <w:lvlText w:val=""/>
      <w:lvlJc w:val="left"/>
      <w:pPr>
        <w:tabs>
          <w:tab w:val="num" w:pos="1440"/>
        </w:tabs>
        <w:ind w:left="1440" w:hanging="72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MBullet2"/>
      <w:lvlText w:val="o"/>
      <w:lvlJc w:val="left"/>
      <w:pPr>
        <w:tabs>
          <w:tab w:val="num" w:pos="1440"/>
        </w:tabs>
        <w:ind w:left="1440" w:hanging="720"/>
      </w:pPr>
      <w:rPr>
        <w:rFonts w:ascii="Courier New" w:hAnsi="Courier New" w:cs="Times New Roman" w:hint="default"/>
      </w:rPr>
    </w:lvl>
    <w:lvl w:ilvl="2">
      <w:start w:val="1"/>
      <w:numFmt w:val="bullet"/>
      <w:pStyle w:val="LMBullet3"/>
      <w:lvlText w:val=""/>
      <w:lvlJc w:val="left"/>
      <w:pPr>
        <w:tabs>
          <w:tab w:val="num" w:pos="2160"/>
        </w:tabs>
        <w:ind w:left="2160" w:hanging="72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E3D62ED"/>
    <w:multiLevelType w:val="hybridMultilevel"/>
    <w:tmpl w:val="022496A6"/>
    <w:lvl w:ilvl="0" w:tplc="70669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a)"/>
        <w:lvlJc w:val="left"/>
        <w:pPr>
          <w:ind w:left="0" w:firstLine="0"/>
        </w:pPr>
        <w:rPr>
          <w:rFonts w:hint="default"/>
        </w:rPr>
      </w:lvl>
    </w:lvlOverride>
    <w:lvlOverride w:ilvl="5">
      <w:lvl w:ilvl="5">
        <w:start w:val="1"/>
        <w:numFmt w:val="lowerRoman"/>
        <w:lvlText w:val="(%6)"/>
        <w:lvlJc w:val="left"/>
        <w:pPr>
          <w:ind w:left="1440" w:hanging="432"/>
        </w:pPr>
        <w:rPr>
          <w:rFonts w:hint="default"/>
        </w:rPr>
      </w:lvl>
    </w:lvlOverride>
    <w:lvlOverride w:ilvl="6">
      <w:lvl w:ilvl="6">
        <w:start w:val="1"/>
        <w:numFmt w:val="upperLetter"/>
        <w:lvlText w:val="%7."/>
        <w:lvlJc w:val="left"/>
        <w:pPr>
          <w:ind w:left="1224" w:hanging="504"/>
        </w:pPr>
        <w:rPr>
          <w:rFonts w:hint="default"/>
        </w:rPr>
      </w:lvl>
    </w:lvlOverride>
    <w:lvlOverride w:ilvl="7">
      <w:lvl w:ilvl="7">
        <w:start w:val="1"/>
        <w:numFmt w:val="upperRoman"/>
        <w:lvlText w:val="%8."/>
        <w:lvlJc w:val="left"/>
        <w:pPr>
          <w:ind w:left="1440" w:hanging="360"/>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0"/>
  </w:num>
  <w:num w:numId="11">
    <w:abstractNumId w:val="1"/>
  </w:num>
  <w:num w:numId="12">
    <w:abstractNumId w:val="6"/>
  </w:num>
  <w:num w:numId="13">
    <w:abstractNumId w:val="4"/>
  </w:num>
  <w:num w:numId="14">
    <w:abstractNumId w:val="14"/>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02780"/>
    <w:rsid w:val="0000715C"/>
    <w:rsid w:val="00007D58"/>
    <w:rsid w:val="0002763D"/>
    <w:rsid w:val="00030ADE"/>
    <w:rsid w:val="00041FD7"/>
    <w:rsid w:val="00057989"/>
    <w:rsid w:val="0006090C"/>
    <w:rsid w:val="00071B68"/>
    <w:rsid w:val="00073B76"/>
    <w:rsid w:val="00080E9E"/>
    <w:rsid w:val="000945CC"/>
    <w:rsid w:val="000A0452"/>
    <w:rsid w:val="000A574D"/>
    <w:rsid w:val="000C066B"/>
    <w:rsid w:val="000D4C14"/>
    <w:rsid w:val="000F465D"/>
    <w:rsid w:val="000F573C"/>
    <w:rsid w:val="00131767"/>
    <w:rsid w:val="00162169"/>
    <w:rsid w:val="0017288E"/>
    <w:rsid w:val="00173933"/>
    <w:rsid w:val="00173D54"/>
    <w:rsid w:val="0019172D"/>
    <w:rsid w:val="00193329"/>
    <w:rsid w:val="00196F6C"/>
    <w:rsid w:val="001A2BDC"/>
    <w:rsid w:val="001B1146"/>
    <w:rsid w:val="001B6546"/>
    <w:rsid w:val="001C3942"/>
    <w:rsid w:val="001E033C"/>
    <w:rsid w:val="001E41CD"/>
    <w:rsid w:val="001E6446"/>
    <w:rsid w:val="00221812"/>
    <w:rsid w:val="00227B83"/>
    <w:rsid w:val="0024722B"/>
    <w:rsid w:val="002527A3"/>
    <w:rsid w:val="00253103"/>
    <w:rsid w:val="0027289E"/>
    <w:rsid w:val="00283908"/>
    <w:rsid w:val="00294A5D"/>
    <w:rsid w:val="002A2BD1"/>
    <w:rsid w:val="002C5892"/>
    <w:rsid w:val="002D08AA"/>
    <w:rsid w:val="002E6D7E"/>
    <w:rsid w:val="003140B7"/>
    <w:rsid w:val="00317E62"/>
    <w:rsid w:val="00342142"/>
    <w:rsid w:val="003657D7"/>
    <w:rsid w:val="0038611B"/>
    <w:rsid w:val="003C1B67"/>
    <w:rsid w:val="003C1E4C"/>
    <w:rsid w:val="003C49B9"/>
    <w:rsid w:val="003E2542"/>
    <w:rsid w:val="00405A53"/>
    <w:rsid w:val="00406F6E"/>
    <w:rsid w:val="00424136"/>
    <w:rsid w:val="004247CB"/>
    <w:rsid w:val="00432C33"/>
    <w:rsid w:val="00444ABF"/>
    <w:rsid w:val="00450C75"/>
    <w:rsid w:val="0045377D"/>
    <w:rsid w:val="00484E61"/>
    <w:rsid w:val="004A4ACB"/>
    <w:rsid w:val="004C3E92"/>
    <w:rsid w:val="004C5996"/>
    <w:rsid w:val="004C7862"/>
    <w:rsid w:val="004E535D"/>
    <w:rsid w:val="004F495B"/>
    <w:rsid w:val="00500381"/>
    <w:rsid w:val="00500AEF"/>
    <w:rsid w:val="0052498C"/>
    <w:rsid w:val="00531CE4"/>
    <w:rsid w:val="00534C75"/>
    <w:rsid w:val="00541D1F"/>
    <w:rsid w:val="005573F8"/>
    <w:rsid w:val="00585DB6"/>
    <w:rsid w:val="00595D1C"/>
    <w:rsid w:val="005B346D"/>
    <w:rsid w:val="005C39EF"/>
    <w:rsid w:val="005D2A0D"/>
    <w:rsid w:val="005E3EFE"/>
    <w:rsid w:val="005E7F45"/>
    <w:rsid w:val="005F36D5"/>
    <w:rsid w:val="005F56FF"/>
    <w:rsid w:val="00604909"/>
    <w:rsid w:val="00617482"/>
    <w:rsid w:val="006237DE"/>
    <w:rsid w:val="00626246"/>
    <w:rsid w:val="00634500"/>
    <w:rsid w:val="0064750F"/>
    <w:rsid w:val="00663338"/>
    <w:rsid w:val="006877DD"/>
    <w:rsid w:val="006A0D0A"/>
    <w:rsid w:val="006A0D6A"/>
    <w:rsid w:val="006A6B60"/>
    <w:rsid w:val="006C3BA3"/>
    <w:rsid w:val="006E1BFE"/>
    <w:rsid w:val="006F0ADC"/>
    <w:rsid w:val="006F3B39"/>
    <w:rsid w:val="00725086"/>
    <w:rsid w:val="0073747A"/>
    <w:rsid w:val="00742F77"/>
    <w:rsid w:val="007535BD"/>
    <w:rsid w:val="007663AF"/>
    <w:rsid w:val="00782BCC"/>
    <w:rsid w:val="00783B57"/>
    <w:rsid w:val="00786E38"/>
    <w:rsid w:val="00790CD9"/>
    <w:rsid w:val="00793EF4"/>
    <w:rsid w:val="007B603B"/>
    <w:rsid w:val="007C166E"/>
    <w:rsid w:val="007F2D35"/>
    <w:rsid w:val="007F359D"/>
    <w:rsid w:val="007F6DD0"/>
    <w:rsid w:val="00814250"/>
    <w:rsid w:val="00823AB0"/>
    <w:rsid w:val="008263E5"/>
    <w:rsid w:val="008301D8"/>
    <w:rsid w:val="00834B1D"/>
    <w:rsid w:val="00834BBF"/>
    <w:rsid w:val="00850FB1"/>
    <w:rsid w:val="00867485"/>
    <w:rsid w:val="00893E4D"/>
    <w:rsid w:val="008E2BF9"/>
    <w:rsid w:val="008F1CAB"/>
    <w:rsid w:val="009020F8"/>
    <w:rsid w:val="00931AD2"/>
    <w:rsid w:val="009402B7"/>
    <w:rsid w:val="00943577"/>
    <w:rsid w:val="00950113"/>
    <w:rsid w:val="0095295D"/>
    <w:rsid w:val="0095336E"/>
    <w:rsid w:val="00976167"/>
    <w:rsid w:val="009C00C9"/>
    <w:rsid w:val="009C7013"/>
    <w:rsid w:val="009E1B06"/>
    <w:rsid w:val="009F661D"/>
    <w:rsid w:val="00A0468D"/>
    <w:rsid w:val="00A21E1A"/>
    <w:rsid w:val="00A2568E"/>
    <w:rsid w:val="00A34165"/>
    <w:rsid w:val="00A66696"/>
    <w:rsid w:val="00A7418D"/>
    <w:rsid w:val="00A879BE"/>
    <w:rsid w:val="00AA02AA"/>
    <w:rsid w:val="00AA4E6B"/>
    <w:rsid w:val="00AB395B"/>
    <w:rsid w:val="00AB5AC7"/>
    <w:rsid w:val="00B01FEB"/>
    <w:rsid w:val="00B443DB"/>
    <w:rsid w:val="00B5747F"/>
    <w:rsid w:val="00B61396"/>
    <w:rsid w:val="00B635B7"/>
    <w:rsid w:val="00B85C9B"/>
    <w:rsid w:val="00BB6B34"/>
    <w:rsid w:val="00BC039D"/>
    <w:rsid w:val="00BD2FCE"/>
    <w:rsid w:val="00BD5B86"/>
    <w:rsid w:val="00BE3102"/>
    <w:rsid w:val="00BE38AC"/>
    <w:rsid w:val="00BE5DC9"/>
    <w:rsid w:val="00BF3431"/>
    <w:rsid w:val="00C05CDB"/>
    <w:rsid w:val="00C226BC"/>
    <w:rsid w:val="00C40FED"/>
    <w:rsid w:val="00C42B92"/>
    <w:rsid w:val="00C66CCB"/>
    <w:rsid w:val="00C70445"/>
    <w:rsid w:val="00C73005"/>
    <w:rsid w:val="00C82323"/>
    <w:rsid w:val="00C9106A"/>
    <w:rsid w:val="00C91B47"/>
    <w:rsid w:val="00C94C64"/>
    <w:rsid w:val="00C97993"/>
    <w:rsid w:val="00C97EE5"/>
    <w:rsid w:val="00CA2CEA"/>
    <w:rsid w:val="00CA3F10"/>
    <w:rsid w:val="00CB2AEE"/>
    <w:rsid w:val="00CE2072"/>
    <w:rsid w:val="00D00129"/>
    <w:rsid w:val="00D419F5"/>
    <w:rsid w:val="00D63936"/>
    <w:rsid w:val="00D64CAC"/>
    <w:rsid w:val="00D67A33"/>
    <w:rsid w:val="00D71CE7"/>
    <w:rsid w:val="00D724EB"/>
    <w:rsid w:val="00D72927"/>
    <w:rsid w:val="00D76D57"/>
    <w:rsid w:val="00D94C62"/>
    <w:rsid w:val="00D95013"/>
    <w:rsid w:val="00DC2F10"/>
    <w:rsid w:val="00DD4BA8"/>
    <w:rsid w:val="00DD71F4"/>
    <w:rsid w:val="00DE208F"/>
    <w:rsid w:val="00DE3D42"/>
    <w:rsid w:val="00DE6425"/>
    <w:rsid w:val="00DF1097"/>
    <w:rsid w:val="00E072E2"/>
    <w:rsid w:val="00E10B57"/>
    <w:rsid w:val="00E31345"/>
    <w:rsid w:val="00E41D73"/>
    <w:rsid w:val="00E4548D"/>
    <w:rsid w:val="00E70F17"/>
    <w:rsid w:val="00E833A3"/>
    <w:rsid w:val="00EB330F"/>
    <w:rsid w:val="00EF2AA2"/>
    <w:rsid w:val="00F0068C"/>
    <w:rsid w:val="00F038BB"/>
    <w:rsid w:val="00F42FA9"/>
    <w:rsid w:val="00F45ED7"/>
    <w:rsid w:val="00F53652"/>
    <w:rsid w:val="00F8469B"/>
    <w:rsid w:val="00F85B9C"/>
    <w:rsid w:val="00F95D18"/>
    <w:rsid w:val="00FA0DA3"/>
    <w:rsid w:val="00FA307B"/>
    <w:rsid w:val="00FA7BE0"/>
    <w:rsid w:val="00FB1760"/>
    <w:rsid w:val="00FB2F7E"/>
    <w:rsid w:val="00FB500E"/>
    <w:rsid w:val="00FB5D5F"/>
    <w:rsid w:val="00FD62FB"/>
    <w:rsid w:val="00FE1317"/>
    <w:rsid w:val="00FE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B16E"/>
  <w15:docId w15:val="{FCE4432A-4267-4ECB-97B2-84692916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6E"/>
    <w:pPr>
      <w:spacing w:after="240" w:line="240" w:lineRule="auto"/>
      <w:jc w:val="both"/>
    </w:pPr>
    <w:rPr>
      <w:rFonts w:ascii="Trebuchet MS" w:eastAsia="Times New Roman" w:hAnsi="Trebuchet MS" w:cs="Times New Roman"/>
      <w:sz w:val="20"/>
      <w:szCs w:val="24"/>
    </w:rPr>
  </w:style>
  <w:style w:type="paragraph" w:styleId="Heading1">
    <w:name w:val="heading 1"/>
    <w:aliases w:val="h1LM"/>
    <w:basedOn w:val="Normal"/>
    <w:next w:val="LMBody"/>
    <w:link w:val="Heading1Char"/>
    <w:qFormat/>
    <w:rsid w:val="00406F6E"/>
    <w:pPr>
      <w:keepNext/>
      <w:pageBreakBefore/>
      <w:numPr>
        <w:numId w:val="8"/>
      </w:numPr>
      <w:jc w:val="left"/>
      <w:outlineLvl w:val="0"/>
    </w:pPr>
    <w:rPr>
      <w:rFonts w:cs="Arial"/>
      <w:b/>
      <w:bCs/>
      <w:caps/>
      <w:sz w:val="24"/>
    </w:rPr>
  </w:style>
  <w:style w:type="paragraph" w:styleId="Heading2">
    <w:name w:val="heading 2"/>
    <w:aliases w:val="h2LM"/>
    <w:basedOn w:val="Normal"/>
    <w:next w:val="LMBodyIndent"/>
    <w:link w:val="Heading2Char"/>
    <w:qFormat/>
    <w:rsid w:val="00406F6E"/>
    <w:pPr>
      <w:keepNext/>
      <w:numPr>
        <w:ilvl w:val="1"/>
        <w:numId w:val="8"/>
      </w:numPr>
      <w:outlineLvl w:val="1"/>
    </w:pPr>
    <w:rPr>
      <w:rFonts w:cs="Arial"/>
      <w:b/>
      <w:bCs/>
      <w:iCs/>
      <w:szCs w:val="20"/>
    </w:rPr>
  </w:style>
  <w:style w:type="paragraph" w:styleId="Heading3">
    <w:name w:val="heading 3"/>
    <w:aliases w:val="h3LM"/>
    <w:basedOn w:val="Normal"/>
    <w:link w:val="Heading3Char"/>
    <w:qFormat/>
    <w:rsid w:val="00406F6E"/>
    <w:pPr>
      <w:numPr>
        <w:ilvl w:val="2"/>
        <w:numId w:val="8"/>
      </w:numPr>
      <w:outlineLvl w:val="2"/>
    </w:pPr>
    <w:rPr>
      <w:rFonts w:cs="Arial"/>
      <w:bCs/>
      <w:szCs w:val="26"/>
    </w:rPr>
  </w:style>
  <w:style w:type="paragraph" w:styleId="Heading4">
    <w:name w:val="heading 4"/>
    <w:aliases w:val="h4LM"/>
    <w:basedOn w:val="Normal"/>
    <w:link w:val="Heading4Char"/>
    <w:qFormat/>
    <w:rsid w:val="00406F6E"/>
    <w:pPr>
      <w:numPr>
        <w:ilvl w:val="3"/>
        <w:numId w:val="8"/>
      </w:numPr>
      <w:outlineLvl w:val="3"/>
    </w:pPr>
    <w:rPr>
      <w:bCs/>
      <w:szCs w:val="28"/>
    </w:rPr>
  </w:style>
  <w:style w:type="paragraph" w:styleId="Heading5">
    <w:name w:val="heading 5"/>
    <w:aliases w:val="h5LM,5LM"/>
    <w:basedOn w:val="Normal"/>
    <w:link w:val="Heading5Char"/>
    <w:qFormat/>
    <w:rsid w:val="00406F6E"/>
    <w:pPr>
      <w:numPr>
        <w:ilvl w:val="4"/>
        <w:numId w:val="8"/>
      </w:numPr>
      <w:outlineLvl w:val="4"/>
    </w:pPr>
    <w:rPr>
      <w:bCs/>
      <w:iCs/>
      <w:szCs w:val="26"/>
    </w:rPr>
  </w:style>
  <w:style w:type="paragraph" w:styleId="Heading6">
    <w:name w:val="heading 6"/>
    <w:aliases w:val="h6LM"/>
    <w:basedOn w:val="Normal"/>
    <w:link w:val="Heading6Char"/>
    <w:qFormat/>
    <w:rsid w:val="00406F6E"/>
    <w:pPr>
      <w:numPr>
        <w:ilvl w:val="5"/>
        <w:numId w:val="8"/>
      </w:numPr>
      <w:outlineLvl w:val="5"/>
    </w:pPr>
    <w:rPr>
      <w:bCs/>
      <w:szCs w:val="22"/>
    </w:rPr>
  </w:style>
  <w:style w:type="paragraph" w:styleId="Heading7">
    <w:name w:val="heading 7"/>
    <w:aliases w:val="h7LM"/>
    <w:basedOn w:val="Normal"/>
    <w:link w:val="Heading7Char"/>
    <w:qFormat/>
    <w:rsid w:val="00406F6E"/>
    <w:pPr>
      <w:numPr>
        <w:ilvl w:val="6"/>
        <w:numId w:val="8"/>
      </w:numPr>
      <w:outlineLvl w:val="6"/>
    </w:pPr>
  </w:style>
  <w:style w:type="paragraph" w:styleId="Heading8">
    <w:name w:val="heading 8"/>
    <w:aliases w:val="h8LM"/>
    <w:basedOn w:val="Normal"/>
    <w:link w:val="Heading8Char"/>
    <w:qFormat/>
    <w:rsid w:val="00406F6E"/>
    <w:pPr>
      <w:numPr>
        <w:ilvl w:val="7"/>
        <w:numId w:val="8"/>
      </w:numPr>
      <w:outlineLvl w:val="7"/>
    </w:pPr>
    <w:rPr>
      <w:iCs/>
    </w:rPr>
  </w:style>
  <w:style w:type="paragraph" w:styleId="Heading9">
    <w:name w:val="heading 9"/>
    <w:aliases w:val="h9LM"/>
    <w:basedOn w:val="Normal"/>
    <w:link w:val="Heading9Char"/>
    <w:qFormat/>
    <w:rsid w:val="00406F6E"/>
    <w:pPr>
      <w:numPr>
        <w:ilvl w:val="8"/>
        <w:numId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L1">
    <w:name w:val="LML1"/>
    <w:aliases w:val="l1"/>
    <w:basedOn w:val="Normal"/>
    <w:rsid w:val="00406F6E"/>
    <w:pPr>
      <w:keepNext/>
      <w:numPr>
        <w:numId w:val="1"/>
      </w:numPr>
    </w:pPr>
    <w:rPr>
      <w:b/>
      <w:szCs w:val="20"/>
    </w:rPr>
  </w:style>
  <w:style w:type="paragraph" w:customStyle="1" w:styleId="LML2">
    <w:name w:val="LML2"/>
    <w:aliases w:val="l2"/>
    <w:basedOn w:val="Normal"/>
    <w:link w:val="LML2Char"/>
    <w:rsid w:val="00406F6E"/>
    <w:pPr>
      <w:numPr>
        <w:ilvl w:val="1"/>
        <w:numId w:val="1"/>
      </w:numPr>
    </w:pPr>
    <w:rPr>
      <w:lang w:val="en-CA"/>
    </w:rPr>
  </w:style>
  <w:style w:type="paragraph" w:customStyle="1" w:styleId="LML3">
    <w:name w:val="LML3"/>
    <w:aliases w:val="l3"/>
    <w:basedOn w:val="Normal"/>
    <w:rsid w:val="00406F6E"/>
    <w:pPr>
      <w:numPr>
        <w:ilvl w:val="2"/>
        <w:numId w:val="1"/>
      </w:numPr>
    </w:pPr>
  </w:style>
  <w:style w:type="paragraph" w:customStyle="1" w:styleId="LML4">
    <w:name w:val="LML4"/>
    <w:aliases w:val="l4"/>
    <w:basedOn w:val="Normal"/>
    <w:semiHidden/>
    <w:rsid w:val="00406F6E"/>
    <w:pPr>
      <w:numPr>
        <w:ilvl w:val="3"/>
        <w:numId w:val="1"/>
      </w:numPr>
    </w:pPr>
    <w:rPr>
      <w:lang w:val="en-CA"/>
    </w:rPr>
  </w:style>
  <w:style w:type="paragraph" w:customStyle="1" w:styleId="LML5">
    <w:name w:val="LML5"/>
    <w:aliases w:val="l5"/>
    <w:basedOn w:val="Normal"/>
    <w:semiHidden/>
    <w:rsid w:val="00406F6E"/>
    <w:pPr>
      <w:numPr>
        <w:ilvl w:val="4"/>
        <w:numId w:val="1"/>
      </w:numPr>
    </w:pPr>
    <w:rPr>
      <w:lang w:val="en-CA"/>
    </w:rPr>
  </w:style>
  <w:style w:type="paragraph" w:customStyle="1" w:styleId="LML6">
    <w:name w:val="LML6"/>
    <w:aliases w:val="l6"/>
    <w:basedOn w:val="Normal"/>
    <w:semiHidden/>
    <w:rsid w:val="00406F6E"/>
    <w:pPr>
      <w:numPr>
        <w:ilvl w:val="5"/>
        <w:numId w:val="1"/>
      </w:numPr>
    </w:pPr>
    <w:rPr>
      <w:lang w:val="en-CA"/>
    </w:rPr>
  </w:style>
  <w:style w:type="paragraph" w:customStyle="1" w:styleId="LML7">
    <w:name w:val="LML7"/>
    <w:aliases w:val="l7"/>
    <w:basedOn w:val="Normal"/>
    <w:semiHidden/>
    <w:rsid w:val="00406F6E"/>
    <w:pPr>
      <w:numPr>
        <w:ilvl w:val="6"/>
        <w:numId w:val="1"/>
      </w:numPr>
    </w:pPr>
    <w:rPr>
      <w:lang w:val="en-CA"/>
    </w:rPr>
  </w:style>
  <w:style w:type="paragraph" w:customStyle="1" w:styleId="LML8">
    <w:name w:val="LML8"/>
    <w:aliases w:val="l8"/>
    <w:basedOn w:val="Normal"/>
    <w:semiHidden/>
    <w:rsid w:val="00406F6E"/>
    <w:pPr>
      <w:numPr>
        <w:ilvl w:val="7"/>
        <w:numId w:val="1"/>
      </w:numPr>
    </w:pPr>
    <w:rPr>
      <w:lang w:val="en-CA"/>
    </w:rPr>
  </w:style>
  <w:style w:type="paragraph" w:customStyle="1" w:styleId="LML9">
    <w:name w:val="LML9"/>
    <w:aliases w:val="l9"/>
    <w:basedOn w:val="Normal"/>
    <w:semiHidden/>
    <w:rsid w:val="00406F6E"/>
    <w:pPr>
      <w:numPr>
        <w:ilvl w:val="8"/>
        <w:numId w:val="1"/>
      </w:numPr>
    </w:pPr>
    <w:rPr>
      <w:lang w:val="en-CA"/>
    </w:rPr>
  </w:style>
  <w:style w:type="character" w:customStyle="1" w:styleId="LML2Char">
    <w:name w:val="LML2 Char"/>
    <w:aliases w:val="l2 Char"/>
    <w:link w:val="LML2"/>
    <w:rsid w:val="00BD2FCE"/>
    <w:rPr>
      <w:rFonts w:ascii="Trebuchet MS" w:eastAsia="Times New Roman" w:hAnsi="Trebuchet MS" w:cs="Times New Roman"/>
      <w:sz w:val="20"/>
      <w:szCs w:val="24"/>
      <w:lang w:val="en-CA"/>
    </w:rPr>
  </w:style>
  <w:style w:type="paragraph" w:customStyle="1" w:styleId="LMAppendixTitle">
    <w:name w:val="LMAppendix Title"/>
    <w:aliases w:val="attl"/>
    <w:basedOn w:val="Normal"/>
    <w:rsid w:val="00BD2FCE"/>
    <w:pPr>
      <w:keepNext/>
      <w:spacing w:after="360"/>
      <w:jc w:val="center"/>
    </w:pPr>
    <w:rPr>
      <w:b/>
      <w:caps/>
      <w:szCs w:val="20"/>
    </w:rPr>
  </w:style>
  <w:style w:type="paragraph" w:styleId="ListParagraph">
    <w:name w:val="List Paragraph"/>
    <w:basedOn w:val="Normal"/>
    <w:uiPriority w:val="34"/>
    <w:qFormat/>
    <w:rsid w:val="00406F6E"/>
    <w:pPr>
      <w:ind w:left="720"/>
      <w:contextualSpacing/>
    </w:pPr>
  </w:style>
  <w:style w:type="paragraph" w:styleId="Header">
    <w:name w:val="header"/>
    <w:basedOn w:val="Normal"/>
    <w:link w:val="HeaderChar"/>
    <w:uiPriority w:val="99"/>
    <w:unhideWhenUsed/>
    <w:rsid w:val="00406F6E"/>
    <w:pPr>
      <w:tabs>
        <w:tab w:val="center" w:pos="4680"/>
        <w:tab w:val="right" w:pos="9360"/>
      </w:tabs>
      <w:spacing w:after="0"/>
    </w:pPr>
  </w:style>
  <w:style w:type="character" w:customStyle="1" w:styleId="HeaderChar">
    <w:name w:val="Header Char"/>
    <w:basedOn w:val="DefaultParagraphFont"/>
    <w:link w:val="Header"/>
    <w:uiPriority w:val="99"/>
    <w:rsid w:val="00E10B57"/>
    <w:rPr>
      <w:rFonts w:ascii="Trebuchet MS" w:eastAsia="Times New Roman" w:hAnsi="Trebuchet MS" w:cs="Times New Roman"/>
      <w:sz w:val="20"/>
      <w:szCs w:val="24"/>
    </w:rPr>
  </w:style>
  <w:style w:type="paragraph" w:styleId="Footer">
    <w:name w:val="footer"/>
    <w:basedOn w:val="Normal"/>
    <w:link w:val="FooterChar"/>
    <w:uiPriority w:val="99"/>
    <w:unhideWhenUsed/>
    <w:rsid w:val="00406F6E"/>
    <w:pPr>
      <w:tabs>
        <w:tab w:val="center" w:pos="4680"/>
        <w:tab w:val="right" w:pos="9360"/>
      </w:tabs>
      <w:spacing w:after="0"/>
    </w:pPr>
  </w:style>
  <w:style w:type="character" w:customStyle="1" w:styleId="FooterChar">
    <w:name w:val="Footer Char"/>
    <w:basedOn w:val="DefaultParagraphFont"/>
    <w:link w:val="Footer"/>
    <w:uiPriority w:val="99"/>
    <w:rsid w:val="00E10B57"/>
    <w:rPr>
      <w:rFonts w:ascii="Trebuchet MS" w:eastAsia="Times New Roman" w:hAnsi="Trebuchet MS" w:cs="Times New Roman"/>
      <w:sz w:val="20"/>
      <w:szCs w:val="24"/>
    </w:rPr>
  </w:style>
  <w:style w:type="paragraph" w:customStyle="1" w:styleId="DocID">
    <w:name w:val="DocID"/>
    <w:basedOn w:val="Footer"/>
    <w:next w:val="Footer"/>
    <w:link w:val="DocIDChar"/>
    <w:rsid w:val="00E10B57"/>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sid w:val="00E10B57"/>
    <w:rPr>
      <w:rFonts w:ascii="Times New Roman" w:eastAsia="Times New Roman" w:hAnsi="Times New Roman" w:cs="Times New Roman"/>
      <w:sz w:val="16"/>
      <w:szCs w:val="24"/>
    </w:rPr>
  </w:style>
  <w:style w:type="character" w:customStyle="1" w:styleId="Heading1Char">
    <w:name w:val="Heading 1 Char"/>
    <w:aliases w:val="h1LM Char"/>
    <w:basedOn w:val="DefaultParagraphFont"/>
    <w:link w:val="Heading1"/>
    <w:rsid w:val="00406F6E"/>
    <w:rPr>
      <w:rFonts w:ascii="Trebuchet MS" w:eastAsia="Times New Roman" w:hAnsi="Trebuchet MS" w:cs="Arial"/>
      <w:b/>
      <w:bCs/>
      <w:caps/>
      <w:sz w:val="24"/>
      <w:szCs w:val="24"/>
    </w:rPr>
  </w:style>
  <w:style w:type="character" w:customStyle="1" w:styleId="Heading2Char">
    <w:name w:val="Heading 2 Char"/>
    <w:aliases w:val="h2LM Char"/>
    <w:basedOn w:val="DefaultParagraphFont"/>
    <w:link w:val="Heading2"/>
    <w:rsid w:val="00406F6E"/>
    <w:rPr>
      <w:rFonts w:ascii="Trebuchet MS" w:eastAsia="Times New Roman" w:hAnsi="Trebuchet MS" w:cs="Arial"/>
      <w:b/>
      <w:bCs/>
      <w:iCs/>
      <w:sz w:val="20"/>
      <w:szCs w:val="20"/>
    </w:rPr>
  </w:style>
  <w:style w:type="character" w:customStyle="1" w:styleId="Heading3Char">
    <w:name w:val="Heading 3 Char"/>
    <w:aliases w:val="h3LM Char"/>
    <w:basedOn w:val="DefaultParagraphFont"/>
    <w:link w:val="Heading3"/>
    <w:rsid w:val="00406F6E"/>
    <w:rPr>
      <w:rFonts w:ascii="Trebuchet MS" w:eastAsia="Times New Roman" w:hAnsi="Trebuchet MS" w:cs="Arial"/>
      <w:bCs/>
      <w:sz w:val="20"/>
      <w:szCs w:val="26"/>
    </w:rPr>
  </w:style>
  <w:style w:type="character" w:customStyle="1" w:styleId="Heading4Char">
    <w:name w:val="Heading 4 Char"/>
    <w:aliases w:val="h4LM Char"/>
    <w:basedOn w:val="DefaultParagraphFont"/>
    <w:link w:val="Heading4"/>
    <w:rsid w:val="00406F6E"/>
    <w:rPr>
      <w:rFonts w:ascii="Trebuchet MS" w:eastAsia="Times New Roman" w:hAnsi="Trebuchet MS" w:cs="Times New Roman"/>
      <w:bCs/>
      <w:sz w:val="20"/>
      <w:szCs w:val="28"/>
    </w:rPr>
  </w:style>
  <w:style w:type="character" w:customStyle="1" w:styleId="Heading5Char">
    <w:name w:val="Heading 5 Char"/>
    <w:aliases w:val="h5LM Char,5LM Char"/>
    <w:basedOn w:val="DefaultParagraphFont"/>
    <w:link w:val="Heading5"/>
    <w:rsid w:val="00406F6E"/>
    <w:rPr>
      <w:rFonts w:ascii="Trebuchet MS" w:eastAsia="Times New Roman" w:hAnsi="Trebuchet MS" w:cs="Times New Roman"/>
      <w:bCs/>
      <w:iCs/>
      <w:sz w:val="20"/>
      <w:szCs w:val="26"/>
    </w:rPr>
  </w:style>
  <w:style w:type="character" w:customStyle="1" w:styleId="Heading6Char">
    <w:name w:val="Heading 6 Char"/>
    <w:aliases w:val="h6LM Char"/>
    <w:basedOn w:val="DefaultParagraphFont"/>
    <w:link w:val="Heading6"/>
    <w:rsid w:val="00406F6E"/>
    <w:rPr>
      <w:rFonts w:ascii="Trebuchet MS" w:eastAsia="Times New Roman" w:hAnsi="Trebuchet MS" w:cs="Times New Roman"/>
      <w:bCs/>
      <w:sz w:val="20"/>
    </w:rPr>
  </w:style>
  <w:style w:type="character" w:customStyle="1" w:styleId="Heading7Char">
    <w:name w:val="Heading 7 Char"/>
    <w:aliases w:val="h7LM Char"/>
    <w:basedOn w:val="DefaultParagraphFont"/>
    <w:link w:val="Heading7"/>
    <w:rsid w:val="00406F6E"/>
    <w:rPr>
      <w:rFonts w:ascii="Trebuchet MS" w:eastAsia="Times New Roman" w:hAnsi="Trebuchet MS" w:cs="Times New Roman"/>
      <w:sz w:val="20"/>
      <w:szCs w:val="24"/>
    </w:rPr>
  </w:style>
  <w:style w:type="character" w:customStyle="1" w:styleId="Heading8Char">
    <w:name w:val="Heading 8 Char"/>
    <w:aliases w:val="h8LM Char"/>
    <w:basedOn w:val="DefaultParagraphFont"/>
    <w:link w:val="Heading8"/>
    <w:rsid w:val="00406F6E"/>
    <w:rPr>
      <w:rFonts w:ascii="Trebuchet MS" w:eastAsia="Times New Roman" w:hAnsi="Trebuchet MS" w:cs="Times New Roman"/>
      <w:iCs/>
      <w:sz w:val="20"/>
      <w:szCs w:val="24"/>
    </w:rPr>
  </w:style>
  <w:style w:type="character" w:customStyle="1" w:styleId="Heading9Char">
    <w:name w:val="Heading 9 Char"/>
    <w:aliases w:val="h9LM Char"/>
    <w:basedOn w:val="DefaultParagraphFont"/>
    <w:link w:val="Heading9"/>
    <w:rsid w:val="00406F6E"/>
    <w:rPr>
      <w:rFonts w:ascii="Trebuchet MS" w:eastAsia="Times New Roman" w:hAnsi="Trebuchet MS" w:cs="Arial"/>
      <w:sz w:val="20"/>
    </w:rPr>
  </w:style>
  <w:style w:type="paragraph" w:customStyle="1" w:styleId="LMBodyIndent">
    <w:name w:val="LMBodyIndent"/>
    <w:aliases w:val="bi"/>
    <w:basedOn w:val="Normal"/>
    <w:link w:val="LMBodyIndentChar"/>
    <w:rsid w:val="00406F6E"/>
    <w:pPr>
      <w:ind w:left="720"/>
    </w:pPr>
  </w:style>
  <w:style w:type="paragraph" w:customStyle="1" w:styleId="LMBullet1">
    <w:name w:val="LMBullet1"/>
    <w:aliases w:val="b1"/>
    <w:basedOn w:val="Normal"/>
    <w:rsid w:val="00406F6E"/>
    <w:pPr>
      <w:numPr>
        <w:numId w:val="6"/>
      </w:numPr>
    </w:pPr>
  </w:style>
  <w:style w:type="paragraph" w:customStyle="1" w:styleId="LMBullet2">
    <w:name w:val="LMBullet2"/>
    <w:aliases w:val="b2"/>
    <w:basedOn w:val="Normal"/>
    <w:rsid w:val="00406F6E"/>
    <w:pPr>
      <w:numPr>
        <w:ilvl w:val="1"/>
        <w:numId w:val="6"/>
      </w:numPr>
    </w:pPr>
  </w:style>
  <w:style w:type="paragraph" w:customStyle="1" w:styleId="LMBullet3">
    <w:name w:val="LMBullet3"/>
    <w:aliases w:val="b3"/>
    <w:basedOn w:val="Normal"/>
    <w:rsid w:val="00406F6E"/>
    <w:pPr>
      <w:numPr>
        <w:ilvl w:val="2"/>
        <w:numId w:val="6"/>
      </w:numPr>
    </w:pPr>
  </w:style>
  <w:style w:type="character" w:customStyle="1" w:styleId="LMBodyIndentChar">
    <w:name w:val="LMBodyIndent Char"/>
    <w:aliases w:val="bi Char"/>
    <w:link w:val="LMBodyIndent"/>
    <w:rsid w:val="00406F6E"/>
    <w:rPr>
      <w:rFonts w:ascii="Trebuchet MS" w:eastAsia="Times New Roman" w:hAnsi="Trebuchet MS" w:cs="Times New Roman"/>
      <w:sz w:val="20"/>
      <w:szCs w:val="24"/>
    </w:rPr>
  </w:style>
  <w:style w:type="paragraph" w:customStyle="1" w:styleId="LMBody">
    <w:name w:val="LMBody"/>
    <w:aliases w:val="bd"/>
    <w:basedOn w:val="Normal"/>
    <w:rsid w:val="00406F6E"/>
  </w:style>
  <w:style w:type="paragraph" w:styleId="BalloonText">
    <w:name w:val="Balloon Text"/>
    <w:basedOn w:val="Normal"/>
    <w:link w:val="BalloonTextChar"/>
    <w:uiPriority w:val="99"/>
    <w:semiHidden/>
    <w:unhideWhenUsed/>
    <w:rsid w:val="00406F6E"/>
    <w:pPr>
      <w:spacing w:after="0"/>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6F6E"/>
    <w:rPr>
      <w:rFonts w:ascii="Tahoma" w:eastAsiaTheme="minorEastAsia" w:hAnsi="Tahoma" w:cs="Tahoma"/>
      <w:sz w:val="16"/>
      <w:szCs w:val="16"/>
    </w:rPr>
  </w:style>
  <w:style w:type="paragraph" w:styleId="Revision">
    <w:name w:val="Revision"/>
    <w:hidden/>
    <w:uiPriority w:val="99"/>
    <w:semiHidden/>
    <w:rsid w:val="00406F6E"/>
    <w:pPr>
      <w:spacing w:after="0" w:line="240" w:lineRule="auto"/>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David Frydenlund</cp:lastModifiedBy>
  <cp:revision>4</cp:revision>
  <dcterms:created xsi:type="dcterms:W3CDTF">2019-01-09T01:10:00Z</dcterms:created>
  <dcterms:modified xsi:type="dcterms:W3CDTF">2019-01-09T01:11:00Z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False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FIRST PAGE</vt:lpwstr>
  </property>
  <property fmtid="{D5CDD505-2E9C-101B-9397-08002B2CF9AE}" pid="14" name="CUS_DocIDString">
    <vt:lpwstr>4824-8784-9769False2False</vt:lpwstr>
  </property>
  <property fmtid="{D5CDD505-2E9C-101B-9397-08002B2CF9AE}" pid="15" name="NDDocNumber">
    <vt:lpwstr>4824-8784-9769</vt:lpwstr>
  </property>
  <property fmtid="{D5CDD505-2E9C-101B-9397-08002B2CF9AE}" pid="16" name="CUS_DocIDVersion">
    <vt:lpwstr>2</vt:lpwstr>
  </property>
</Properties>
</file>