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44E9" w14:textId="77777777" w:rsidR="00EC1D63" w:rsidRPr="00A35F90" w:rsidRDefault="00EC1D63" w:rsidP="00A35F90">
      <w:pPr>
        <w:pStyle w:val="LMBodyIndent"/>
        <w:spacing w:after="0"/>
        <w:ind w:left="0"/>
        <w:jc w:val="center"/>
        <w:rPr>
          <w:rFonts w:ascii="Times New Roman" w:hAnsi="Times New Roman"/>
          <w:b/>
          <w:sz w:val="22"/>
        </w:rPr>
      </w:pPr>
      <w:r w:rsidRPr="00A35F90">
        <w:rPr>
          <w:rFonts w:ascii="Times New Roman" w:hAnsi="Times New Roman"/>
          <w:b/>
          <w:sz w:val="22"/>
        </w:rPr>
        <w:t>CHARTER OF THE AUDIT COMMITTEE</w:t>
      </w:r>
    </w:p>
    <w:p w14:paraId="1CA5696D" w14:textId="77777777" w:rsidR="00EC1D63" w:rsidRPr="00A35F90" w:rsidRDefault="00EC1D63" w:rsidP="00A35F90">
      <w:pPr>
        <w:pStyle w:val="LMBodyIndent"/>
        <w:spacing w:after="0"/>
        <w:ind w:left="0"/>
        <w:jc w:val="center"/>
        <w:rPr>
          <w:rFonts w:ascii="Times New Roman" w:hAnsi="Times New Roman"/>
          <w:b/>
          <w:sz w:val="22"/>
        </w:rPr>
      </w:pPr>
    </w:p>
    <w:p w14:paraId="10CA38B7" w14:textId="032BC866" w:rsidR="00EC1D63" w:rsidRPr="00F40411" w:rsidRDefault="00EC1D63" w:rsidP="00EC1D63">
      <w:pPr>
        <w:pStyle w:val="Header"/>
        <w:spacing w:after="0"/>
        <w:jc w:val="center"/>
        <w:rPr>
          <w:rFonts w:ascii="Times New Roman" w:hAnsi="Times New Roman"/>
          <w:sz w:val="22"/>
          <w:szCs w:val="22"/>
        </w:rPr>
      </w:pPr>
      <w:r w:rsidRPr="00F40411">
        <w:rPr>
          <w:rFonts w:ascii="Times New Roman" w:hAnsi="Times New Roman"/>
          <w:sz w:val="22"/>
          <w:szCs w:val="22"/>
        </w:rPr>
        <w:t xml:space="preserve">(As Approved by the Board on </w:t>
      </w:r>
      <w:r w:rsidR="00AD083A">
        <w:rPr>
          <w:rFonts w:ascii="Times New Roman" w:hAnsi="Times New Roman"/>
          <w:sz w:val="22"/>
          <w:szCs w:val="22"/>
        </w:rPr>
        <w:t>January 2</w:t>
      </w:r>
      <w:r w:rsidR="001F6774">
        <w:rPr>
          <w:rFonts w:ascii="Times New Roman" w:hAnsi="Times New Roman"/>
          <w:sz w:val="22"/>
          <w:szCs w:val="22"/>
        </w:rPr>
        <w:t>2</w:t>
      </w:r>
      <w:r w:rsidR="00AD083A">
        <w:rPr>
          <w:rFonts w:ascii="Times New Roman" w:hAnsi="Times New Roman"/>
          <w:sz w:val="22"/>
          <w:szCs w:val="22"/>
        </w:rPr>
        <w:t>, 201</w:t>
      </w:r>
      <w:r w:rsidR="001F6774">
        <w:rPr>
          <w:rFonts w:ascii="Times New Roman" w:hAnsi="Times New Roman"/>
          <w:sz w:val="22"/>
          <w:szCs w:val="22"/>
        </w:rPr>
        <w:t>9</w:t>
      </w:r>
      <w:r w:rsidRPr="00F40411">
        <w:rPr>
          <w:rFonts w:ascii="Times New Roman" w:hAnsi="Times New Roman"/>
          <w:sz w:val="22"/>
          <w:szCs w:val="22"/>
        </w:rPr>
        <w:t>)</w:t>
      </w:r>
    </w:p>
    <w:p w14:paraId="38EE8E36" w14:textId="77777777" w:rsidR="00EC1D63" w:rsidRPr="00F40411" w:rsidRDefault="00EC1D63" w:rsidP="00EC1D63">
      <w:pPr>
        <w:pStyle w:val="LMBodyIndent"/>
        <w:spacing w:after="0"/>
        <w:ind w:left="0"/>
        <w:rPr>
          <w:rFonts w:ascii="Times New Roman" w:hAnsi="Times New Roman"/>
          <w:b/>
          <w:sz w:val="22"/>
          <w:szCs w:val="22"/>
        </w:rPr>
      </w:pPr>
    </w:p>
    <w:p w14:paraId="32D27D44" w14:textId="77777777" w:rsidR="00EC1D63" w:rsidRPr="00F40411" w:rsidRDefault="00EC1D63" w:rsidP="00EC1D63">
      <w:pPr>
        <w:pStyle w:val="LMBodyIndent"/>
        <w:spacing w:after="0"/>
        <w:ind w:left="0"/>
        <w:rPr>
          <w:rFonts w:ascii="Times New Roman" w:hAnsi="Times New Roman"/>
          <w:sz w:val="22"/>
          <w:szCs w:val="22"/>
        </w:rPr>
      </w:pPr>
    </w:p>
    <w:p w14:paraId="501C76C3" w14:textId="34BFCDE2" w:rsidR="00EC1D63" w:rsidRPr="00A35F90" w:rsidRDefault="00EC1D63" w:rsidP="00A35F90">
      <w:pPr>
        <w:pStyle w:val="LMBodyIndent"/>
        <w:spacing w:after="0"/>
        <w:ind w:left="0"/>
        <w:rPr>
          <w:rFonts w:ascii="Times New Roman" w:hAnsi="Times New Roman"/>
          <w:sz w:val="22"/>
        </w:rPr>
      </w:pPr>
      <w:r w:rsidRPr="00A35F90">
        <w:rPr>
          <w:rFonts w:ascii="Times New Roman" w:hAnsi="Times New Roman"/>
          <w:sz w:val="22"/>
        </w:rPr>
        <w:t xml:space="preserve">The responsibilities and composition requirements of audit committees are as set out in the Canadian Securities Administrators’ </w:t>
      </w:r>
      <w:r w:rsidR="00E074C0" w:rsidRPr="00703F10">
        <w:rPr>
          <w:rFonts w:ascii="Times New Roman" w:hAnsi="Times New Roman"/>
          <w:sz w:val="22"/>
          <w:szCs w:val="22"/>
        </w:rPr>
        <w:t>National</w:t>
      </w:r>
      <w:r w:rsidR="00E074C0" w:rsidRPr="00A35F90">
        <w:rPr>
          <w:rFonts w:ascii="Times New Roman" w:hAnsi="Times New Roman"/>
          <w:sz w:val="22"/>
        </w:rPr>
        <w:t xml:space="preserve"> </w:t>
      </w:r>
      <w:r w:rsidRPr="00A35F90">
        <w:rPr>
          <w:rFonts w:ascii="Times New Roman" w:hAnsi="Times New Roman"/>
          <w:sz w:val="22"/>
        </w:rPr>
        <w:t>Instrument 52-110-Audit Committees (</w:t>
      </w:r>
      <w:bookmarkStart w:id="0" w:name="_GoBack"/>
      <w:bookmarkEnd w:id="0"/>
      <w:r w:rsidRPr="00A35F90">
        <w:rPr>
          <w:rFonts w:ascii="Times New Roman" w:hAnsi="Times New Roman"/>
          <w:sz w:val="22"/>
        </w:rPr>
        <w:t>"</w:t>
      </w:r>
      <w:r w:rsidRPr="00703F10">
        <w:rPr>
          <w:rFonts w:ascii="Times New Roman" w:hAnsi="Times New Roman"/>
          <w:sz w:val="22"/>
          <w:szCs w:val="22"/>
        </w:rPr>
        <w:t>NI</w:t>
      </w:r>
      <w:r w:rsidRPr="00A35F90">
        <w:rPr>
          <w:rFonts w:ascii="Times New Roman" w:hAnsi="Times New Roman"/>
          <w:sz w:val="22"/>
        </w:rPr>
        <w:t xml:space="preserve"> 52-110"), the rules of the NYSE </w:t>
      </w:r>
      <w:r w:rsidR="00B5380C">
        <w:rPr>
          <w:rFonts w:ascii="Times New Roman" w:hAnsi="Times New Roman"/>
          <w:sz w:val="22"/>
        </w:rPr>
        <w:t>American</w:t>
      </w:r>
      <w:r w:rsidRPr="00A35F90">
        <w:rPr>
          <w:rFonts w:ascii="Times New Roman" w:hAnsi="Times New Roman"/>
          <w:sz w:val="22"/>
        </w:rPr>
        <w:t xml:space="preserve"> Company Guide (the “Company Guide”), the Sarbanes-Oxley Act of 2002 (“SOX”), and the rules and regulations promulgated by the United States Securities and Exchange Commission (“SEC”).</w:t>
      </w:r>
    </w:p>
    <w:p w14:paraId="6F05079B" w14:textId="77777777" w:rsidR="00EC1D63" w:rsidRPr="00F40411" w:rsidRDefault="00EC1D63" w:rsidP="00EC1D63">
      <w:pPr>
        <w:pStyle w:val="LMBodyIndent"/>
        <w:spacing w:after="0"/>
        <w:ind w:left="0"/>
        <w:rPr>
          <w:rFonts w:ascii="Times New Roman" w:hAnsi="Times New Roman"/>
          <w:sz w:val="22"/>
          <w:szCs w:val="22"/>
        </w:rPr>
      </w:pPr>
      <w:r w:rsidRPr="00F40411">
        <w:rPr>
          <w:rFonts w:ascii="Times New Roman" w:hAnsi="Times New Roman"/>
          <w:sz w:val="22"/>
          <w:szCs w:val="22"/>
        </w:rPr>
        <w:t xml:space="preserve"> </w:t>
      </w:r>
    </w:p>
    <w:p w14:paraId="2F01AD4F" w14:textId="77777777" w:rsidR="00EC1D63" w:rsidRPr="00F40411" w:rsidRDefault="00EC1D63" w:rsidP="00EC1D63">
      <w:pPr>
        <w:spacing w:after="0"/>
        <w:rPr>
          <w:rFonts w:ascii="Times New Roman" w:hAnsi="Times New Roman"/>
          <w:b/>
          <w:sz w:val="22"/>
          <w:szCs w:val="22"/>
        </w:rPr>
      </w:pPr>
      <w:r w:rsidRPr="00A35F90">
        <w:rPr>
          <w:rFonts w:ascii="Times New Roman" w:hAnsi="Times New Roman"/>
          <w:b/>
          <w:sz w:val="22"/>
        </w:rPr>
        <w:t>Audit Committee Mandate</w:t>
      </w:r>
    </w:p>
    <w:p w14:paraId="6E628E08" w14:textId="77777777" w:rsidR="00EC1D63" w:rsidRPr="00A35F90" w:rsidRDefault="00EC1D63" w:rsidP="00A35F90">
      <w:pPr>
        <w:spacing w:after="0"/>
        <w:rPr>
          <w:rFonts w:ascii="Times New Roman" w:hAnsi="Times New Roman"/>
          <w:sz w:val="22"/>
        </w:rPr>
      </w:pPr>
    </w:p>
    <w:p w14:paraId="55EFBD0B" w14:textId="77777777" w:rsidR="00EC1D63" w:rsidRPr="00A35F90" w:rsidRDefault="00EC1D63" w:rsidP="00A35F90">
      <w:pPr>
        <w:spacing w:after="0"/>
        <w:rPr>
          <w:rFonts w:ascii="Times New Roman" w:hAnsi="Times New Roman"/>
          <w:sz w:val="22"/>
        </w:rPr>
      </w:pPr>
      <w:r w:rsidRPr="00A35F90">
        <w:rPr>
          <w:rFonts w:ascii="Times New Roman" w:hAnsi="Times New Roman"/>
          <w:sz w:val="22"/>
        </w:rPr>
        <w:t>The Audit Committee (the "Committee") is a committee established and appointed by and among the Board of Directors of the Company (the “Board”) to assist the Board in fulfilling its oversight responsibilities of the Company.  In so doing, the Committee provides an avenue of communication among the external auditor, management, and the Board.  The Committee's purpose is to ensure the integrity of financial reporting and the audit process, and that sound risk management and internal control systems are developed and maintained.  In pursuing these objectives the Audit Committee oversees relations with the external auditor, reviews the effectiveness of the internal audit function, and oversees the accounting and financial reporting processes of the Company and audits of financial statements of the Company.</w:t>
      </w:r>
    </w:p>
    <w:p w14:paraId="69343DD0" w14:textId="77777777" w:rsidR="00EC1D63" w:rsidRPr="00F40411" w:rsidRDefault="00EC1D63" w:rsidP="00EC1D63">
      <w:pPr>
        <w:spacing w:after="0"/>
        <w:rPr>
          <w:rFonts w:ascii="Times New Roman" w:hAnsi="Times New Roman"/>
          <w:sz w:val="22"/>
          <w:szCs w:val="22"/>
        </w:rPr>
      </w:pPr>
    </w:p>
    <w:p w14:paraId="14344735" w14:textId="77777777" w:rsidR="00EC1D63" w:rsidRPr="00A35F90" w:rsidRDefault="00EC1D63" w:rsidP="00A35F90">
      <w:pPr>
        <w:spacing w:after="0"/>
        <w:rPr>
          <w:rFonts w:ascii="Times New Roman" w:hAnsi="Times New Roman"/>
          <w:b/>
          <w:sz w:val="22"/>
        </w:rPr>
      </w:pPr>
      <w:r w:rsidRPr="00A35F90">
        <w:rPr>
          <w:rFonts w:ascii="Times New Roman" w:hAnsi="Times New Roman"/>
          <w:b/>
          <w:sz w:val="22"/>
        </w:rPr>
        <w:t>Responsibilities</w:t>
      </w:r>
    </w:p>
    <w:p w14:paraId="349C6C49" w14:textId="77777777" w:rsidR="00EC1D63" w:rsidRPr="00721C52" w:rsidRDefault="00EC1D63" w:rsidP="00EC1D63">
      <w:pPr>
        <w:spacing w:after="0"/>
        <w:rPr>
          <w:rFonts w:ascii="Times New Roman" w:hAnsi="Times New Roman"/>
          <w:sz w:val="22"/>
          <w:szCs w:val="22"/>
        </w:rPr>
      </w:pPr>
    </w:p>
    <w:p w14:paraId="6FF2F08D" w14:textId="77777777" w:rsidR="00EC1D63" w:rsidRPr="00A35F90" w:rsidRDefault="00EC1D63" w:rsidP="00A35F90">
      <w:pPr>
        <w:spacing w:after="0"/>
        <w:rPr>
          <w:rFonts w:ascii="Times New Roman" w:hAnsi="Times New Roman"/>
          <w:sz w:val="22"/>
        </w:rPr>
      </w:pPr>
      <w:r w:rsidRPr="00A35F90">
        <w:rPr>
          <w:rFonts w:ascii="Times New Roman" w:hAnsi="Times New Roman"/>
          <w:sz w:val="22"/>
        </w:rPr>
        <w:t>The Committee's primary duties and responsibilities are as follows:</w:t>
      </w:r>
    </w:p>
    <w:p w14:paraId="56034EBA" w14:textId="6B90B20F" w:rsidR="00EC1D63" w:rsidRPr="00F40411" w:rsidRDefault="00EC1D63" w:rsidP="00EC1D63">
      <w:pPr>
        <w:spacing w:after="0"/>
        <w:rPr>
          <w:rFonts w:ascii="Times New Roman" w:hAnsi="Times New Roman"/>
          <w:sz w:val="22"/>
          <w:szCs w:val="22"/>
        </w:rPr>
      </w:pPr>
    </w:p>
    <w:p w14:paraId="57F01900"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The appointment, compensation, retention and oversight of the external auditor engaged for the purpose of preparing or issuing an auditor's report or performing other audit, review or attest services for the Company, including approval, prior to the auditor’s audit, of the auditor’s work plan and scope of the auditor’s review and all related fees.  The external auditor shall report directly to the Committee.</w:t>
      </w:r>
    </w:p>
    <w:p w14:paraId="30FBF044" w14:textId="290BDAF8" w:rsidR="00EC1D63" w:rsidRPr="00F40411" w:rsidRDefault="00EC1D63" w:rsidP="00EC1D63">
      <w:pPr>
        <w:pStyle w:val="LML2"/>
        <w:numPr>
          <w:ilvl w:val="0"/>
          <w:numId w:val="0"/>
        </w:numPr>
        <w:tabs>
          <w:tab w:val="num" w:pos="720"/>
        </w:tabs>
        <w:spacing w:after="0"/>
        <w:ind w:left="720"/>
        <w:rPr>
          <w:rFonts w:ascii="Times New Roman" w:hAnsi="Times New Roman"/>
          <w:sz w:val="22"/>
          <w:szCs w:val="22"/>
        </w:rPr>
      </w:pPr>
    </w:p>
    <w:p w14:paraId="4C3D1D52"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Assume direct responsibility for overseeing the work of the external auditor engaged to prepare or issue an audit report or perform other audit, review or attest services for the Company, including the resolution of disagreements between management and the external auditor regarding financial reporting.</w:t>
      </w:r>
    </w:p>
    <w:p w14:paraId="5F9AAA9A" w14:textId="46DC16C3" w:rsidR="00EC1D63" w:rsidRPr="00F40411" w:rsidRDefault="00EC1D63" w:rsidP="00EC1D63">
      <w:pPr>
        <w:pStyle w:val="LML2"/>
        <w:numPr>
          <w:ilvl w:val="0"/>
          <w:numId w:val="0"/>
        </w:numPr>
        <w:spacing w:after="0"/>
        <w:rPr>
          <w:rFonts w:ascii="Times New Roman" w:hAnsi="Times New Roman"/>
          <w:sz w:val="22"/>
          <w:szCs w:val="22"/>
        </w:rPr>
      </w:pPr>
    </w:p>
    <w:p w14:paraId="4B8FD1A7"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Pre-approve all non-audit services to be provided to the Company or its subsidiaries by the Company’s external auditor.</w:t>
      </w:r>
    </w:p>
    <w:p w14:paraId="676AC93C" w14:textId="0462194D" w:rsidR="00EC1D63" w:rsidRPr="00F40411" w:rsidRDefault="00EC1D63" w:rsidP="00EC1D63">
      <w:pPr>
        <w:pStyle w:val="LML2"/>
        <w:numPr>
          <w:ilvl w:val="0"/>
          <w:numId w:val="0"/>
        </w:numPr>
        <w:tabs>
          <w:tab w:val="num" w:pos="720"/>
        </w:tabs>
        <w:spacing w:after="0"/>
        <w:ind w:left="720"/>
        <w:rPr>
          <w:rFonts w:ascii="Times New Roman" w:hAnsi="Times New Roman"/>
          <w:sz w:val="22"/>
          <w:szCs w:val="22"/>
        </w:rPr>
      </w:pPr>
    </w:p>
    <w:p w14:paraId="06B6ED46"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 xml:space="preserve">Review the Company's annual and interim financial statements, Management’s Discussion, and Analysis (MD&amp;A) and annual and interim earnings press releases, and any other set of financial statements which will be released to shareholders, other security holders or regulatory agencies and/or which will form part, either directly or by reference, of any prospectus, offering circular, information circular, </w:t>
      </w:r>
      <w:r w:rsidR="00E074C0">
        <w:rPr>
          <w:rFonts w:ascii="Times New Roman" w:hAnsi="Times New Roman"/>
          <w:sz w:val="22"/>
          <w:szCs w:val="22"/>
        </w:rPr>
        <w:t xml:space="preserve">proxy statement, </w:t>
      </w:r>
      <w:r w:rsidRPr="00A35F90">
        <w:rPr>
          <w:rFonts w:ascii="Times New Roman" w:hAnsi="Times New Roman"/>
          <w:sz w:val="22"/>
        </w:rPr>
        <w:t>annual information form (AIF), annual</w:t>
      </w:r>
      <w:r w:rsidR="00E074C0">
        <w:rPr>
          <w:rFonts w:ascii="Times New Roman" w:hAnsi="Times New Roman"/>
          <w:sz w:val="22"/>
          <w:szCs w:val="22"/>
        </w:rPr>
        <w:t xml:space="preserve"> or quarterly</w:t>
      </w:r>
      <w:r w:rsidRPr="00A35F90">
        <w:rPr>
          <w:rFonts w:ascii="Times New Roman" w:hAnsi="Times New Roman"/>
          <w:sz w:val="22"/>
        </w:rPr>
        <w:t xml:space="preserve"> reports filed with the SEC or any legal filing, before such documents are publicly disclosed by the Company.</w:t>
      </w:r>
    </w:p>
    <w:p w14:paraId="32B94E2D" w14:textId="42714603" w:rsidR="00EC1D63" w:rsidRPr="00F40411" w:rsidRDefault="00EC1D63" w:rsidP="00EC1D63">
      <w:pPr>
        <w:pStyle w:val="LML2"/>
        <w:numPr>
          <w:ilvl w:val="0"/>
          <w:numId w:val="0"/>
        </w:numPr>
        <w:spacing w:after="0"/>
        <w:rPr>
          <w:rFonts w:ascii="Times New Roman" w:hAnsi="Times New Roman"/>
          <w:sz w:val="22"/>
          <w:szCs w:val="22"/>
        </w:rPr>
      </w:pPr>
    </w:p>
    <w:p w14:paraId="09F8F396"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 xml:space="preserve">The Committee must satisfy itself that adequate procedures are in place for the review of the Company's public disclosure of financial information extracted or derived from the Company's financial statements, other than the public disclosure referred to in 4 </w:t>
      </w:r>
      <w:proofErr w:type="gramStart"/>
      <w:r w:rsidRPr="00A35F90">
        <w:rPr>
          <w:rFonts w:ascii="Times New Roman" w:hAnsi="Times New Roman"/>
          <w:sz w:val="22"/>
        </w:rPr>
        <w:t>above, and</w:t>
      </w:r>
      <w:proofErr w:type="gramEnd"/>
      <w:r w:rsidRPr="00A35F90">
        <w:rPr>
          <w:rFonts w:ascii="Times New Roman" w:hAnsi="Times New Roman"/>
          <w:sz w:val="22"/>
        </w:rPr>
        <w:t xml:space="preserve"> must periodically assess the adequacy of those procedures.</w:t>
      </w:r>
    </w:p>
    <w:p w14:paraId="2EA56FCD" w14:textId="0E97ACEC" w:rsidR="00EC1D63" w:rsidRPr="00F40411" w:rsidRDefault="00EC1D63" w:rsidP="00EC1D63">
      <w:pPr>
        <w:pStyle w:val="LML2"/>
        <w:numPr>
          <w:ilvl w:val="0"/>
          <w:numId w:val="0"/>
        </w:numPr>
        <w:spacing w:after="0"/>
        <w:ind w:left="720"/>
        <w:rPr>
          <w:rFonts w:ascii="Times New Roman" w:hAnsi="Times New Roman"/>
          <w:sz w:val="22"/>
          <w:szCs w:val="22"/>
        </w:rPr>
      </w:pPr>
    </w:p>
    <w:p w14:paraId="1BBEC8B1" w14:textId="77777777" w:rsidR="00EC1D63" w:rsidRPr="00D91EA7" w:rsidRDefault="00EC1D63" w:rsidP="00A35F90">
      <w:pPr>
        <w:pStyle w:val="LML2"/>
        <w:tabs>
          <w:tab w:val="clear" w:pos="1440"/>
          <w:tab w:val="num" w:pos="720"/>
        </w:tabs>
        <w:spacing w:after="0"/>
        <w:ind w:left="720"/>
        <w:rPr>
          <w:rFonts w:ascii="Times New Roman" w:hAnsi="Times New Roman"/>
          <w:sz w:val="22"/>
          <w:szCs w:val="22"/>
        </w:rPr>
      </w:pPr>
      <w:r w:rsidRPr="00A35F90">
        <w:rPr>
          <w:rFonts w:ascii="Times New Roman" w:hAnsi="Times New Roman"/>
          <w:sz w:val="22"/>
          <w:szCs w:val="22"/>
        </w:rPr>
        <w:t>Establish procedures (the “Whistleblower Policy”) for:</w:t>
      </w:r>
    </w:p>
    <w:p w14:paraId="58268128" w14:textId="77777777" w:rsidR="00D91EA7" w:rsidRPr="00A35F90" w:rsidRDefault="00D91EA7" w:rsidP="00D91EA7">
      <w:pPr>
        <w:pStyle w:val="LML2"/>
        <w:numPr>
          <w:ilvl w:val="0"/>
          <w:numId w:val="0"/>
        </w:numPr>
        <w:spacing w:after="0"/>
        <w:rPr>
          <w:rFonts w:ascii="Times New Roman" w:hAnsi="Times New Roman"/>
          <w:sz w:val="22"/>
          <w:szCs w:val="22"/>
        </w:rPr>
      </w:pPr>
    </w:p>
    <w:p w14:paraId="0125F124" w14:textId="6BD18650" w:rsidR="00EC1D63" w:rsidRPr="00D91EA7" w:rsidRDefault="00EC1D63" w:rsidP="00A35F90">
      <w:pPr>
        <w:pStyle w:val="LML3"/>
        <w:tabs>
          <w:tab w:val="clear" w:pos="2160"/>
          <w:tab w:val="num" w:pos="1440"/>
        </w:tabs>
        <w:ind w:left="720" w:firstLine="0"/>
        <w:rPr>
          <w:rFonts w:ascii="Times New Roman" w:hAnsi="Times New Roman"/>
          <w:sz w:val="22"/>
          <w:szCs w:val="22"/>
        </w:rPr>
      </w:pPr>
      <w:r w:rsidRPr="00A35F90">
        <w:rPr>
          <w:rFonts w:ascii="Times New Roman" w:hAnsi="Times New Roman"/>
          <w:sz w:val="22"/>
          <w:szCs w:val="22"/>
        </w:rPr>
        <w:t>the receipt, retention and treatment of complaints received by the Company regarding accounting, internal accounting controls, or auditing matters; and</w:t>
      </w:r>
    </w:p>
    <w:p w14:paraId="51C7EF6D" w14:textId="77DACA2F" w:rsidR="00D91EA7" w:rsidRPr="00A35F90" w:rsidRDefault="00D91EA7" w:rsidP="00D91EA7">
      <w:pPr>
        <w:pStyle w:val="LML3"/>
        <w:tabs>
          <w:tab w:val="clear" w:pos="2160"/>
          <w:tab w:val="num" w:pos="1440"/>
        </w:tabs>
        <w:ind w:left="720" w:firstLine="0"/>
        <w:rPr>
          <w:rFonts w:ascii="Times New Roman" w:hAnsi="Times New Roman"/>
          <w:sz w:val="22"/>
          <w:szCs w:val="22"/>
        </w:rPr>
      </w:pPr>
      <w:r w:rsidRPr="00A35F90">
        <w:rPr>
          <w:rFonts w:ascii="Times New Roman" w:hAnsi="Times New Roman"/>
          <w:sz w:val="22"/>
          <w:szCs w:val="22"/>
        </w:rPr>
        <w:t>the confidential, anonymous submission by employees of the Company of concerns regarding questionable accounting or auditing matters</w:t>
      </w:r>
      <w:r w:rsidRPr="00D91EA7">
        <w:rPr>
          <w:rFonts w:ascii="Times New Roman" w:hAnsi="Times New Roman"/>
          <w:sz w:val="22"/>
          <w:szCs w:val="22"/>
        </w:rPr>
        <w:t>.</w:t>
      </w:r>
    </w:p>
    <w:p w14:paraId="591E88B5" w14:textId="601AAE2F" w:rsidR="00EC1D63" w:rsidRPr="00F40411" w:rsidRDefault="00EC1D63" w:rsidP="00EC1D63">
      <w:pPr>
        <w:pStyle w:val="LML3"/>
        <w:numPr>
          <w:ilvl w:val="0"/>
          <w:numId w:val="0"/>
        </w:numPr>
        <w:spacing w:after="0"/>
        <w:ind w:left="1440"/>
        <w:rPr>
          <w:rFonts w:ascii="Times New Roman" w:hAnsi="Times New Roman"/>
          <w:sz w:val="22"/>
          <w:szCs w:val="22"/>
        </w:rPr>
      </w:pPr>
    </w:p>
    <w:p w14:paraId="036F618F"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Review and approve the Company's hiring policies regarding partners, employees and former partners and employees of the present and former external auditor of the Company.</w:t>
      </w:r>
    </w:p>
    <w:p w14:paraId="62FE65FE" w14:textId="7A993C7A" w:rsidR="00EC1D63" w:rsidRPr="00F40411" w:rsidRDefault="00EC1D63" w:rsidP="00EC1D63">
      <w:pPr>
        <w:pStyle w:val="LML2"/>
        <w:numPr>
          <w:ilvl w:val="0"/>
          <w:numId w:val="0"/>
        </w:numPr>
        <w:spacing w:after="0"/>
        <w:ind w:left="720"/>
        <w:rPr>
          <w:rFonts w:ascii="Times New Roman" w:hAnsi="Times New Roman"/>
          <w:sz w:val="22"/>
          <w:szCs w:val="22"/>
        </w:rPr>
      </w:pPr>
    </w:p>
    <w:p w14:paraId="549BA035"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Ensuring the receipt from the external auditor of a formal written statement delineating all relationships between the auditor and the Company, consistent with Independence Standards Board Standard 1</w:t>
      </w:r>
      <w:r w:rsidR="00BB5ABD">
        <w:rPr>
          <w:rFonts w:ascii="Times New Roman" w:hAnsi="Times New Roman"/>
          <w:sz w:val="22"/>
          <w:szCs w:val="22"/>
        </w:rPr>
        <w:t xml:space="preserve"> or the standards set by the Public Accounting Oversight Board (the “PCAOB Standards”), as applicable</w:t>
      </w:r>
      <w:r w:rsidRPr="00A35F90">
        <w:rPr>
          <w:rFonts w:ascii="Times New Roman" w:hAnsi="Times New Roman"/>
          <w:sz w:val="22"/>
        </w:rPr>
        <w:t>, and actively engaging in a dialogue with the auditor with respect to any disclosed relationships or services that may impact the objectivity and independence of the auditor and for taking, or recommending that the full Board take, appropriate action to oversee the independence of the external auditor.</w:t>
      </w:r>
    </w:p>
    <w:p w14:paraId="715DF069" w14:textId="63B21ABD" w:rsidR="00EC1D63" w:rsidRPr="00F40411" w:rsidRDefault="00EC1D63" w:rsidP="00EC1D63">
      <w:pPr>
        <w:pStyle w:val="LML2"/>
        <w:numPr>
          <w:ilvl w:val="0"/>
          <w:numId w:val="0"/>
        </w:numPr>
        <w:spacing w:after="0"/>
        <w:ind w:left="720"/>
        <w:rPr>
          <w:rFonts w:ascii="Times New Roman" w:hAnsi="Times New Roman"/>
          <w:sz w:val="22"/>
          <w:szCs w:val="22"/>
        </w:rPr>
      </w:pPr>
    </w:p>
    <w:p w14:paraId="3BDCE036" w14:textId="77777777" w:rsidR="00EC1D63" w:rsidRPr="00A35F90" w:rsidRDefault="00EC1D63" w:rsidP="00A35F90">
      <w:pPr>
        <w:pStyle w:val="LML2"/>
        <w:tabs>
          <w:tab w:val="clear" w:pos="1440"/>
          <w:tab w:val="num" w:pos="720"/>
        </w:tabs>
        <w:spacing w:after="0"/>
        <w:ind w:left="720"/>
        <w:rPr>
          <w:rFonts w:ascii="Times New Roman" w:hAnsi="Times New Roman"/>
          <w:sz w:val="22"/>
        </w:rPr>
      </w:pPr>
      <w:r w:rsidRPr="00A35F90">
        <w:rPr>
          <w:rFonts w:ascii="Times New Roman" w:hAnsi="Times New Roman"/>
          <w:sz w:val="22"/>
        </w:rPr>
        <w:t>Prior to the completion of the annual audit, and at any other time deemed advisable by the Committee, review and discuss with management and the external auditor the quality of the Company’s accounting policies and financial statement presentation, including (without limitation), the following:</w:t>
      </w:r>
    </w:p>
    <w:p w14:paraId="23923908" w14:textId="42B8BFC4" w:rsidR="00EC1D63" w:rsidRPr="00F40411" w:rsidRDefault="00EC1D63" w:rsidP="00EC1D63">
      <w:pPr>
        <w:pStyle w:val="LML2"/>
        <w:numPr>
          <w:ilvl w:val="0"/>
          <w:numId w:val="0"/>
        </w:numPr>
        <w:spacing w:after="0"/>
        <w:ind w:left="720"/>
        <w:rPr>
          <w:rFonts w:ascii="Times New Roman" w:hAnsi="Times New Roman"/>
          <w:sz w:val="22"/>
          <w:szCs w:val="22"/>
        </w:rPr>
      </w:pPr>
    </w:p>
    <w:p w14:paraId="3BA2B156" w14:textId="77777777" w:rsidR="00EC1D63" w:rsidRPr="00A35F90" w:rsidRDefault="00EC1D63" w:rsidP="00A35F90">
      <w:pPr>
        <w:numPr>
          <w:ilvl w:val="0"/>
          <w:numId w:val="3"/>
        </w:numPr>
        <w:spacing w:after="0"/>
        <w:ind w:left="720" w:firstLine="0"/>
        <w:rPr>
          <w:rFonts w:ascii="Times New Roman" w:hAnsi="Times New Roman"/>
          <w:sz w:val="22"/>
        </w:rPr>
      </w:pPr>
      <w:r w:rsidRPr="00A35F90">
        <w:rPr>
          <w:rFonts w:ascii="Times New Roman" w:hAnsi="Times New Roman"/>
          <w:sz w:val="22"/>
        </w:rPr>
        <w:t>all critical accounting policies and practices to be used, including (without limitation) the reasons why certain estimates or policies are or are not considered critical and how current and anticipated future events may impact those determinations as well as an assessment of any proposed modifications by the external auditor that were not made;</w:t>
      </w:r>
    </w:p>
    <w:p w14:paraId="6B7A0A61" w14:textId="44A1ACC0" w:rsidR="00EC1D63" w:rsidRPr="00F40411" w:rsidRDefault="00EC1D63" w:rsidP="00EC1D63">
      <w:pPr>
        <w:spacing w:after="0"/>
        <w:ind w:left="1080"/>
        <w:rPr>
          <w:rFonts w:ascii="Times New Roman" w:hAnsi="Times New Roman"/>
          <w:sz w:val="22"/>
          <w:szCs w:val="22"/>
        </w:rPr>
      </w:pPr>
    </w:p>
    <w:p w14:paraId="43ED18C9" w14:textId="77777777" w:rsidR="00EC1D63" w:rsidRPr="00A35F90" w:rsidRDefault="00EC1D63" w:rsidP="00A35F90">
      <w:pPr>
        <w:numPr>
          <w:ilvl w:val="0"/>
          <w:numId w:val="3"/>
        </w:numPr>
        <w:spacing w:after="0"/>
        <w:ind w:left="720" w:firstLine="0"/>
        <w:rPr>
          <w:rFonts w:ascii="Times New Roman" w:hAnsi="Times New Roman"/>
          <w:sz w:val="22"/>
        </w:rPr>
      </w:pPr>
      <w:r w:rsidRPr="00A35F90">
        <w:rPr>
          <w:rFonts w:ascii="Times New Roman" w:hAnsi="Times New Roman"/>
          <w:sz w:val="22"/>
        </w:rPr>
        <w:t>all alternative accounting treatments for policies and practices that have been discussed by management and the external auditor; and</w:t>
      </w:r>
    </w:p>
    <w:p w14:paraId="79DCA012" w14:textId="096D26D5" w:rsidR="00EC1D63" w:rsidRPr="00F40411" w:rsidRDefault="00EC1D63" w:rsidP="00EC1D63">
      <w:pPr>
        <w:spacing w:after="0"/>
        <w:rPr>
          <w:rFonts w:ascii="Times New Roman" w:hAnsi="Times New Roman"/>
          <w:sz w:val="22"/>
          <w:szCs w:val="22"/>
        </w:rPr>
      </w:pPr>
    </w:p>
    <w:p w14:paraId="1FF5D691" w14:textId="3B776E21" w:rsidR="00EC1D63" w:rsidRPr="00A35F90" w:rsidRDefault="00EC1D63" w:rsidP="00A35F90">
      <w:pPr>
        <w:numPr>
          <w:ilvl w:val="0"/>
          <w:numId w:val="3"/>
        </w:numPr>
        <w:spacing w:after="0"/>
        <w:ind w:left="720" w:firstLine="0"/>
        <w:rPr>
          <w:rFonts w:ascii="Times New Roman" w:hAnsi="Times New Roman"/>
          <w:sz w:val="22"/>
        </w:rPr>
      </w:pPr>
      <w:r w:rsidRPr="00A35F90">
        <w:rPr>
          <w:rFonts w:ascii="Times New Roman" w:hAnsi="Times New Roman"/>
          <w:sz w:val="22"/>
        </w:rPr>
        <w:t>other material written communications between the external auditor and management, including (without limitation) any management letter, schedule of unadjusted differences, the management representation letter, report on internal controls, as well as the engagement letter and the independence letter.</w:t>
      </w:r>
    </w:p>
    <w:p w14:paraId="35352E40" w14:textId="6FC8BD08" w:rsidR="00EC1D63" w:rsidRPr="00F40411" w:rsidRDefault="00EC1D63" w:rsidP="00EC1D63">
      <w:pPr>
        <w:spacing w:after="0"/>
        <w:rPr>
          <w:rFonts w:ascii="Times New Roman" w:hAnsi="Times New Roman"/>
          <w:sz w:val="22"/>
          <w:szCs w:val="22"/>
        </w:rPr>
      </w:pPr>
      <w:r w:rsidRPr="00F40411">
        <w:rPr>
          <w:rFonts w:ascii="Times New Roman" w:hAnsi="Times New Roman"/>
          <w:sz w:val="22"/>
          <w:szCs w:val="22"/>
        </w:rPr>
        <w:tab/>
      </w:r>
    </w:p>
    <w:p w14:paraId="543C2238" w14:textId="77777777" w:rsidR="00EC1D63" w:rsidRPr="00A35F90" w:rsidRDefault="00EC1D63" w:rsidP="00A35F90">
      <w:pPr>
        <w:pStyle w:val="LML2"/>
        <w:tabs>
          <w:tab w:val="clear" w:pos="1440"/>
        </w:tabs>
        <w:spacing w:after="0"/>
        <w:ind w:left="720"/>
        <w:rPr>
          <w:rFonts w:ascii="Times New Roman" w:hAnsi="Times New Roman"/>
          <w:sz w:val="22"/>
        </w:rPr>
      </w:pPr>
      <w:r w:rsidRPr="00A35F90">
        <w:rPr>
          <w:rFonts w:ascii="Times New Roman" w:hAnsi="Times New Roman"/>
          <w:sz w:val="22"/>
        </w:rPr>
        <w:t>Review annually the accounting principles and practices followed by the Company and any changes in the same as they occur, and review new accounting principles of the Canadian Institute of Chartered Accountants and the International Accounting Standards Board</w:t>
      </w:r>
      <w:r w:rsidR="00BB5ABD" w:rsidRPr="00A35F90">
        <w:rPr>
          <w:rFonts w:ascii="Times New Roman" w:hAnsi="Times New Roman"/>
          <w:sz w:val="22"/>
        </w:rPr>
        <w:t xml:space="preserve"> </w:t>
      </w:r>
      <w:r w:rsidR="00BB5ABD">
        <w:rPr>
          <w:rFonts w:ascii="Times New Roman" w:hAnsi="Times New Roman"/>
          <w:sz w:val="22"/>
          <w:szCs w:val="22"/>
        </w:rPr>
        <w:t>or under the United States generally accepted accounting principles, or PCAOB Standards, as applicable,</w:t>
      </w:r>
      <w:r w:rsidRPr="00F40411">
        <w:rPr>
          <w:rFonts w:ascii="Times New Roman" w:hAnsi="Times New Roman"/>
          <w:sz w:val="22"/>
          <w:szCs w:val="22"/>
        </w:rPr>
        <w:t xml:space="preserve"> </w:t>
      </w:r>
      <w:r w:rsidRPr="00A35F90">
        <w:rPr>
          <w:rFonts w:ascii="Times New Roman" w:hAnsi="Times New Roman"/>
          <w:sz w:val="22"/>
        </w:rPr>
        <w:t>which have a significant impact on the Company’s financial reporting as reported to the Committee by management.</w:t>
      </w:r>
    </w:p>
    <w:p w14:paraId="21F99770" w14:textId="0308BBF8" w:rsidR="00EC1D63" w:rsidRPr="00F40411" w:rsidRDefault="00EC1D63" w:rsidP="00EC1D63">
      <w:pPr>
        <w:pStyle w:val="LML2"/>
        <w:numPr>
          <w:ilvl w:val="0"/>
          <w:numId w:val="0"/>
        </w:numPr>
        <w:spacing w:after="0"/>
        <w:ind w:left="720"/>
        <w:rPr>
          <w:rFonts w:ascii="Times New Roman" w:hAnsi="Times New Roman"/>
          <w:sz w:val="22"/>
          <w:szCs w:val="22"/>
        </w:rPr>
      </w:pPr>
    </w:p>
    <w:p w14:paraId="7F335609" w14:textId="77777777" w:rsidR="00EC1D63" w:rsidRPr="00A35F90" w:rsidRDefault="00EC1D63" w:rsidP="00A35F90">
      <w:pPr>
        <w:pStyle w:val="LML2"/>
        <w:tabs>
          <w:tab w:val="clear" w:pos="1440"/>
        </w:tabs>
        <w:spacing w:after="0"/>
        <w:ind w:left="720"/>
        <w:rPr>
          <w:rFonts w:ascii="Times New Roman" w:hAnsi="Times New Roman"/>
          <w:sz w:val="22"/>
        </w:rPr>
      </w:pPr>
      <w:r w:rsidRPr="00A35F90">
        <w:rPr>
          <w:rFonts w:ascii="Times New Roman" w:hAnsi="Times New Roman"/>
          <w:sz w:val="22"/>
        </w:rPr>
        <w:t>Review the status of material contingent liabilities, potentially significant tax issues, and any errors or omissions in the current or prior years’ financial statements which appear material, as reported to the Committee by management.</w:t>
      </w:r>
    </w:p>
    <w:p w14:paraId="6F7899DE" w14:textId="011FC77B" w:rsidR="00EC1D63" w:rsidRDefault="00EC1D63" w:rsidP="00EC1D63">
      <w:pPr>
        <w:pStyle w:val="LML2"/>
        <w:numPr>
          <w:ilvl w:val="0"/>
          <w:numId w:val="0"/>
        </w:numPr>
        <w:spacing w:after="0"/>
        <w:ind w:left="720"/>
        <w:rPr>
          <w:rFonts w:ascii="Times New Roman" w:hAnsi="Times New Roman"/>
          <w:sz w:val="22"/>
          <w:szCs w:val="22"/>
        </w:rPr>
      </w:pPr>
    </w:p>
    <w:p w14:paraId="00B3CA92" w14:textId="77777777" w:rsidR="00EC1D63" w:rsidRPr="00A35F90" w:rsidRDefault="00EC1D63" w:rsidP="00A35F90">
      <w:pPr>
        <w:pStyle w:val="LML2"/>
        <w:tabs>
          <w:tab w:val="clear" w:pos="1440"/>
        </w:tabs>
        <w:ind w:left="720"/>
        <w:rPr>
          <w:rFonts w:ascii="Times New Roman" w:hAnsi="Times New Roman"/>
          <w:sz w:val="22"/>
        </w:rPr>
      </w:pPr>
      <w:r w:rsidRPr="00A35F90">
        <w:rPr>
          <w:rFonts w:ascii="Times New Roman" w:hAnsi="Times New Roman"/>
          <w:sz w:val="22"/>
        </w:rPr>
        <w:lastRenderedPageBreak/>
        <w:t>Oversee management’s design, testing, and implementation of the Company’s internal controls and management information systems and review the adequacy and effectiveness thereof.</w:t>
      </w:r>
    </w:p>
    <w:p w14:paraId="0C6EEC54" w14:textId="3B345782" w:rsidR="00EC1D63" w:rsidRPr="00A35F90" w:rsidRDefault="00EC1D63" w:rsidP="00A35F90">
      <w:pPr>
        <w:pStyle w:val="LML2"/>
        <w:tabs>
          <w:tab w:val="clear" w:pos="1440"/>
        </w:tabs>
        <w:ind w:left="720"/>
        <w:rPr>
          <w:rFonts w:ascii="Times New Roman" w:hAnsi="Times New Roman"/>
          <w:sz w:val="22"/>
        </w:rPr>
      </w:pPr>
      <w:r w:rsidRPr="00A35F90">
        <w:rPr>
          <w:rFonts w:ascii="Times New Roman" w:hAnsi="Times New Roman"/>
          <w:sz w:val="22"/>
        </w:rPr>
        <w:t>Oversee and enforce the Code of Ethics for the Chief Executive Officer, senior financial officers and other officers of the Company, subject to supervision by the Board.</w:t>
      </w:r>
    </w:p>
    <w:p w14:paraId="166D0938" w14:textId="620DEBF0" w:rsidR="00EC1D63" w:rsidRPr="00A35F90" w:rsidRDefault="00EC1D63" w:rsidP="00A35F90">
      <w:pPr>
        <w:pStyle w:val="LML2"/>
        <w:tabs>
          <w:tab w:val="clear" w:pos="1440"/>
        </w:tabs>
        <w:ind w:left="720"/>
        <w:rPr>
          <w:rFonts w:ascii="Times New Roman" w:hAnsi="Times New Roman"/>
          <w:sz w:val="22"/>
        </w:rPr>
      </w:pPr>
      <w:r w:rsidRPr="00A35F90">
        <w:rPr>
          <w:rFonts w:ascii="Times New Roman" w:hAnsi="Times New Roman"/>
          <w:sz w:val="22"/>
        </w:rPr>
        <w:t>Inquire of management and the external auditor as to any activities that may or may not appear to be illegal or unethical and review with management and the external auditor any frauds reported to the Committee.</w:t>
      </w:r>
    </w:p>
    <w:p w14:paraId="700758E2" w14:textId="4B213B7D" w:rsidR="00EC1D63" w:rsidRPr="00A35F90" w:rsidRDefault="00EC1D63" w:rsidP="00A35F90">
      <w:pPr>
        <w:pStyle w:val="LML2"/>
        <w:tabs>
          <w:tab w:val="clear" w:pos="1440"/>
        </w:tabs>
        <w:ind w:left="720"/>
        <w:rPr>
          <w:rFonts w:ascii="Times New Roman" w:hAnsi="Times New Roman"/>
          <w:sz w:val="22"/>
        </w:rPr>
      </w:pPr>
      <w:r w:rsidRPr="00A35F90">
        <w:rPr>
          <w:rFonts w:ascii="Times New Roman" w:hAnsi="Times New Roman"/>
          <w:sz w:val="22"/>
        </w:rPr>
        <w:t>Report and make recommendations to the Board as the Committee considers appropriate.</w:t>
      </w:r>
    </w:p>
    <w:p w14:paraId="64E9CCC0" w14:textId="77777777" w:rsidR="00EC1D63" w:rsidRPr="00A35F90" w:rsidRDefault="00EC1D63" w:rsidP="00A35F90">
      <w:pPr>
        <w:spacing w:after="0"/>
        <w:rPr>
          <w:rFonts w:ascii="Times New Roman" w:hAnsi="Times New Roman"/>
          <w:b/>
          <w:sz w:val="22"/>
        </w:rPr>
      </w:pPr>
      <w:r w:rsidRPr="00A35F90">
        <w:rPr>
          <w:rFonts w:ascii="Times New Roman" w:hAnsi="Times New Roman"/>
          <w:b/>
          <w:sz w:val="22"/>
        </w:rPr>
        <w:t>Authority of the Committee</w:t>
      </w:r>
    </w:p>
    <w:p w14:paraId="7860C088" w14:textId="77777777" w:rsidR="00EC1D63" w:rsidRPr="00721C52" w:rsidRDefault="00EC1D63" w:rsidP="00EC1D63">
      <w:pPr>
        <w:spacing w:after="0"/>
        <w:rPr>
          <w:rFonts w:ascii="Times New Roman" w:hAnsi="Times New Roman"/>
          <w:sz w:val="22"/>
          <w:szCs w:val="22"/>
        </w:rPr>
      </w:pPr>
    </w:p>
    <w:p w14:paraId="32C718FE" w14:textId="77777777" w:rsidR="00EC1D63" w:rsidRPr="00A35F90" w:rsidRDefault="00EC1D63" w:rsidP="00A35F90">
      <w:pPr>
        <w:spacing w:after="0"/>
        <w:rPr>
          <w:rFonts w:ascii="Times New Roman" w:hAnsi="Times New Roman"/>
          <w:sz w:val="22"/>
        </w:rPr>
      </w:pPr>
      <w:r w:rsidRPr="00A35F90">
        <w:rPr>
          <w:rFonts w:ascii="Times New Roman" w:hAnsi="Times New Roman"/>
          <w:sz w:val="22"/>
        </w:rPr>
        <w:t>The Committee shall have the authority to engage independent counsel and other advisors as it determines necessary to carry out its duties and to set and pay the compensation for any advisors engaged by it. The Committee shall also have the authority to communicate directly with the external auditor.</w:t>
      </w:r>
    </w:p>
    <w:p w14:paraId="1B169E38" w14:textId="77777777" w:rsidR="00EC1D63" w:rsidRPr="00F40411" w:rsidRDefault="00EC1D63" w:rsidP="00EC1D63">
      <w:pPr>
        <w:spacing w:after="0"/>
        <w:rPr>
          <w:rFonts w:ascii="Times New Roman" w:hAnsi="Times New Roman"/>
          <w:sz w:val="22"/>
          <w:szCs w:val="22"/>
        </w:rPr>
      </w:pPr>
    </w:p>
    <w:p w14:paraId="4DC08AEE" w14:textId="77777777" w:rsidR="00EC1D63" w:rsidRPr="00F40411" w:rsidRDefault="00EC1D63" w:rsidP="00EC1D63">
      <w:pPr>
        <w:spacing w:after="0"/>
        <w:rPr>
          <w:rFonts w:ascii="Times New Roman" w:hAnsi="Times New Roman"/>
          <w:b/>
          <w:sz w:val="22"/>
          <w:szCs w:val="22"/>
        </w:rPr>
      </w:pPr>
      <w:r w:rsidRPr="00A35F90">
        <w:rPr>
          <w:rFonts w:ascii="Times New Roman" w:hAnsi="Times New Roman"/>
          <w:b/>
          <w:sz w:val="22"/>
        </w:rPr>
        <w:t>Composition</w:t>
      </w:r>
    </w:p>
    <w:p w14:paraId="6E9EBC54" w14:textId="77777777" w:rsidR="00EC1D63" w:rsidRPr="00A35F90" w:rsidRDefault="00EC1D63" w:rsidP="00A35F90">
      <w:pPr>
        <w:pStyle w:val="LMBody"/>
        <w:spacing w:after="0"/>
        <w:rPr>
          <w:rFonts w:ascii="Times New Roman" w:hAnsi="Times New Roman"/>
          <w:sz w:val="22"/>
        </w:rPr>
      </w:pPr>
    </w:p>
    <w:p w14:paraId="5AABC39F" w14:textId="10E7A5FB" w:rsidR="00EC1D63" w:rsidRPr="00A35F90" w:rsidRDefault="00EC1D63" w:rsidP="00A35F90">
      <w:pPr>
        <w:pStyle w:val="LMBody"/>
        <w:spacing w:after="0"/>
        <w:rPr>
          <w:rFonts w:ascii="Times New Roman" w:hAnsi="Times New Roman"/>
          <w:sz w:val="22"/>
        </w:rPr>
      </w:pPr>
      <w:r w:rsidRPr="00A35F90">
        <w:rPr>
          <w:rFonts w:ascii="Times New Roman" w:hAnsi="Times New Roman"/>
          <w:sz w:val="22"/>
        </w:rPr>
        <w:t xml:space="preserve">The Committee members shall meet the requirements of the Ontario Securities Commission (the “OSC”), the Toronto Stock Exchange (the “TSX”), the SEC and the NYSE </w:t>
      </w:r>
      <w:r w:rsidR="00B5380C">
        <w:rPr>
          <w:rFonts w:ascii="Times New Roman" w:hAnsi="Times New Roman"/>
          <w:sz w:val="22"/>
        </w:rPr>
        <w:t>American</w:t>
      </w:r>
      <w:r w:rsidRPr="00A35F90">
        <w:rPr>
          <w:rFonts w:ascii="Times New Roman" w:hAnsi="Times New Roman"/>
          <w:sz w:val="22"/>
        </w:rPr>
        <w:t xml:space="preserve">.  The Audit Committee shall consist of at least three (3) Directors.  All members of the Audit Committee shall be “independent” in accordance with </w:t>
      </w:r>
      <w:r>
        <w:rPr>
          <w:rFonts w:ascii="Times New Roman" w:hAnsi="Times New Roman"/>
          <w:sz w:val="22"/>
          <w:szCs w:val="22"/>
        </w:rPr>
        <w:t>NI</w:t>
      </w:r>
      <w:r w:rsidRPr="00A35F90">
        <w:rPr>
          <w:rFonts w:ascii="Times New Roman" w:hAnsi="Times New Roman"/>
          <w:sz w:val="22"/>
        </w:rPr>
        <w:t xml:space="preserve"> 52-110, the rules of the Company Guide and Rule 10A-3 of the United States Securities Exchange A</w:t>
      </w:r>
      <w:r w:rsidR="00C27432" w:rsidRPr="00A35F90">
        <w:rPr>
          <w:rFonts w:ascii="Times New Roman" w:hAnsi="Times New Roman"/>
          <w:sz w:val="22"/>
        </w:rPr>
        <w:t>ct of 1934, as amended</w:t>
      </w:r>
      <w:r w:rsidR="00C27432">
        <w:rPr>
          <w:rFonts w:ascii="Times New Roman" w:hAnsi="Times New Roman"/>
          <w:sz w:val="22"/>
          <w:szCs w:val="22"/>
        </w:rPr>
        <w:t>. All members must be able to read and understand fundamental financial statements,</w:t>
      </w:r>
      <w:r w:rsidR="00C27432" w:rsidRPr="00A35F90">
        <w:rPr>
          <w:rFonts w:ascii="Times New Roman" w:hAnsi="Times New Roman"/>
          <w:sz w:val="22"/>
        </w:rPr>
        <w:t xml:space="preserve"> the</w:t>
      </w:r>
      <w:r w:rsidRPr="00A35F90">
        <w:rPr>
          <w:rFonts w:ascii="Times New Roman" w:hAnsi="Times New Roman"/>
          <w:sz w:val="22"/>
        </w:rPr>
        <w:t xml:space="preserve"> Chair of the Audit Committee shall be “financially literate” as set forth in </w:t>
      </w:r>
      <w:r>
        <w:rPr>
          <w:rFonts w:ascii="Times New Roman" w:hAnsi="Times New Roman"/>
          <w:sz w:val="22"/>
          <w:szCs w:val="22"/>
        </w:rPr>
        <w:t>NI</w:t>
      </w:r>
      <w:r w:rsidRPr="00A35F90">
        <w:rPr>
          <w:rFonts w:ascii="Times New Roman" w:hAnsi="Times New Roman"/>
          <w:sz w:val="22"/>
        </w:rPr>
        <w:t xml:space="preserve"> 52-110 and at least one member of the Committee must qualify as an Audit Committee Financial Expert as defined from time to time by the SEC.  A quorum shall consist of not less than two (2) members of the Audit Committee.</w:t>
      </w:r>
    </w:p>
    <w:p w14:paraId="0A7C9430" w14:textId="77777777" w:rsidR="00EC1D63" w:rsidRPr="00721C52" w:rsidRDefault="00EC1D63" w:rsidP="00EC1D63">
      <w:pPr>
        <w:spacing w:after="0"/>
        <w:rPr>
          <w:rFonts w:ascii="Times New Roman" w:hAnsi="Times New Roman"/>
          <w:sz w:val="22"/>
          <w:szCs w:val="22"/>
        </w:rPr>
      </w:pPr>
    </w:p>
    <w:p w14:paraId="684DBEB7" w14:textId="77777777" w:rsidR="00EC1D63" w:rsidRPr="00A35F90" w:rsidRDefault="00EC1D63" w:rsidP="00A35F90">
      <w:pPr>
        <w:spacing w:after="0"/>
        <w:rPr>
          <w:rFonts w:ascii="Times New Roman" w:hAnsi="Times New Roman"/>
          <w:sz w:val="22"/>
        </w:rPr>
      </w:pPr>
      <w:r w:rsidRPr="00A35F90">
        <w:rPr>
          <w:rFonts w:ascii="Times New Roman" w:hAnsi="Times New Roman"/>
          <w:sz w:val="22"/>
        </w:rPr>
        <w:t>The Board shall designate the Chair of the Committee annually. Any member of the Committee may be removed or replaced at any time by the Board.  Any member of the Committee ceasing to be a director or ceasing to qualify as a member under any applicable law, rule or regulation shall cease to be a member of the Committee.  Subject to the foregoing, each Member of the Committee shall hold office as such until the next annual appointment of members to the Committee after his or her election.  Any vacancy occurring in the Committee shall be filled at the next meeting of the Board.</w:t>
      </w:r>
    </w:p>
    <w:p w14:paraId="099A650D" w14:textId="77777777" w:rsidR="00EC1D63" w:rsidRPr="00F40411" w:rsidRDefault="00EC1D63" w:rsidP="00EC1D63">
      <w:pPr>
        <w:spacing w:after="0"/>
        <w:rPr>
          <w:rFonts w:ascii="Times New Roman" w:hAnsi="Times New Roman"/>
          <w:b/>
          <w:sz w:val="22"/>
          <w:szCs w:val="22"/>
        </w:rPr>
      </w:pPr>
    </w:p>
    <w:p w14:paraId="03234CCA" w14:textId="77777777" w:rsidR="00EC1D63" w:rsidRPr="00F40411" w:rsidRDefault="00EC1D63" w:rsidP="00EC1D63">
      <w:pPr>
        <w:spacing w:after="0"/>
        <w:rPr>
          <w:rFonts w:ascii="Times New Roman" w:hAnsi="Times New Roman"/>
          <w:b/>
          <w:sz w:val="22"/>
          <w:szCs w:val="22"/>
        </w:rPr>
      </w:pPr>
      <w:r w:rsidRPr="00A35F90">
        <w:rPr>
          <w:rFonts w:ascii="Times New Roman" w:hAnsi="Times New Roman"/>
          <w:b/>
          <w:sz w:val="22"/>
        </w:rPr>
        <w:t xml:space="preserve">Remuneration </w:t>
      </w:r>
    </w:p>
    <w:p w14:paraId="7C45832C" w14:textId="77777777" w:rsidR="00EC1D63" w:rsidRPr="00A35F90" w:rsidRDefault="00EC1D63" w:rsidP="00A35F90">
      <w:pPr>
        <w:spacing w:after="0"/>
        <w:rPr>
          <w:rFonts w:ascii="Times New Roman" w:hAnsi="Times New Roman"/>
          <w:sz w:val="22"/>
        </w:rPr>
      </w:pPr>
    </w:p>
    <w:p w14:paraId="11C62C1F" w14:textId="77777777" w:rsidR="00EC1D63" w:rsidRPr="00A35F90" w:rsidRDefault="00EC1D63" w:rsidP="00A35F90">
      <w:pPr>
        <w:spacing w:after="0"/>
        <w:rPr>
          <w:rFonts w:ascii="Times New Roman" w:hAnsi="Times New Roman"/>
          <w:sz w:val="22"/>
        </w:rPr>
      </w:pPr>
      <w:r w:rsidRPr="00A35F90">
        <w:rPr>
          <w:rFonts w:ascii="Times New Roman" w:hAnsi="Times New Roman"/>
          <w:sz w:val="22"/>
        </w:rPr>
        <w:t>No member of the Committee may earn fees from the Company or any of its subsidiaries other than directors' fees or committee member fees (which fees may include cash, options or other in-kind consideration ordinarily available to directors). For greater certainty, no member of the Committee shall accept any consulting, advisory or other compensatory fee from the Company.</w:t>
      </w:r>
    </w:p>
    <w:p w14:paraId="7A97527D" w14:textId="77777777" w:rsidR="00EC1D63" w:rsidRPr="00F40411" w:rsidRDefault="00EC1D63" w:rsidP="00EC1D63">
      <w:pPr>
        <w:spacing w:after="0"/>
        <w:rPr>
          <w:rFonts w:ascii="Times New Roman" w:hAnsi="Times New Roman"/>
          <w:sz w:val="22"/>
          <w:szCs w:val="22"/>
        </w:rPr>
      </w:pPr>
    </w:p>
    <w:p w14:paraId="1A446C37" w14:textId="77777777" w:rsidR="00EC1D63" w:rsidRPr="00721C52" w:rsidRDefault="00EC1D63" w:rsidP="00EC1D63">
      <w:pPr>
        <w:spacing w:after="0"/>
        <w:rPr>
          <w:rFonts w:ascii="Times New Roman" w:hAnsi="Times New Roman"/>
          <w:b/>
          <w:sz w:val="22"/>
          <w:szCs w:val="22"/>
        </w:rPr>
      </w:pPr>
      <w:r w:rsidRPr="00A35F90">
        <w:rPr>
          <w:rFonts w:ascii="Times New Roman" w:hAnsi="Times New Roman"/>
          <w:b/>
          <w:sz w:val="22"/>
        </w:rPr>
        <w:t>Meetings &amp; Operating Procedures</w:t>
      </w:r>
    </w:p>
    <w:p w14:paraId="4DF8358C" w14:textId="77777777" w:rsidR="00EC1D63" w:rsidRPr="00A35F90" w:rsidRDefault="00EC1D63" w:rsidP="00A35F90">
      <w:pPr>
        <w:spacing w:after="0"/>
        <w:rPr>
          <w:rFonts w:ascii="Times New Roman" w:hAnsi="Times New Roman"/>
          <w:b/>
          <w:sz w:val="22"/>
        </w:rPr>
      </w:pPr>
    </w:p>
    <w:p w14:paraId="462B2535"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 xml:space="preserve">The Committee shall meet at least four times annually for regular meetings, or more frequently as circumstances dictate for special meetings.  The times of and places where meetings of the Committee shall be held and the calling of and procedures at such meetings shall be determined from time to time by the Committee.  Special meetings shall be convened whenever requested by the external auditor, the Chair, or any two members of the Audit Committee in accordance with the </w:t>
      </w:r>
      <w:r w:rsidRPr="00A35F90">
        <w:rPr>
          <w:rFonts w:ascii="Times New Roman" w:hAnsi="Times New Roman"/>
          <w:i/>
          <w:sz w:val="22"/>
        </w:rPr>
        <w:t>Ontario Business Corporations Act</w:t>
      </w:r>
      <w:r w:rsidRPr="00A35F90">
        <w:rPr>
          <w:rFonts w:ascii="Times New Roman" w:hAnsi="Times New Roman"/>
          <w:sz w:val="22"/>
        </w:rPr>
        <w:t>.</w:t>
      </w:r>
    </w:p>
    <w:p w14:paraId="003F4AEF" w14:textId="77777777" w:rsidR="00EC1D63" w:rsidRPr="00A35F90" w:rsidRDefault="00EC1D63" w:rsidP="00A35F90">
      <w:pPr>
        <w:pStyle w:val="ListParagraph"/>
        <w:spacing w:after="0"/>
        <w:ind w:left="360"/>
        <w:rPr>
          <w:rFonts w:ascii="Times New Roman" w:hAnsi="Times New Roman"/>
          <w:sz w:val="22"/>
        </w:rPr>
      </w:pPr>
    </w:p>
    <w:p w14:paraId="172A5CC9"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Regular meetings shall be called by the Chair of the Committee so as to allow the Committee to review the annual and interim consolidated financial statements of the Company prior to approval of the statements by the Board and prior to the release of the annual financial statements, the MD&amp;A or the interim reports to shareholders, as applicable.</w:t>
      </w:r>
    </w:p>
    <w:p w14:paraId="4F365A12" w14:textId="77777777" w:rsidR="00EC1D63" w:rsidRPr="00A35F90" w:rsidRDefault="00EC1D63" w:rsidP="00A35F90">
      <w:pPr>
        <w:pStyle w:val="ListParagraph"/>
        <w:spacing w:after="0"/>
        <w:ind w:left="360"/>
        <w:rPr>
          <w:rFonts w:ascii="Times New Roman" w:hAnsi="Times New Roman"/>
          <w:sz w:val="22"/>
        </w:rPr>
      </w:pPr>
    </w:p>
    <w:p w14:paraId="732A3E95"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 xml:space="preserve">Notice of every such meeting shall be given in writing not less than forty-eight (48) hours prior to the date fixed for the </w:t>
      </w:r>
      <w:proofErr w:type="gramStart"/>
      <w:r w:rsidRPr="00A35F90">
        <w:rPr>
          <w:rFonts w:ascii="Times New Roman" w:hAnsi="Times New Roman"/>
          <w:sz w:val="22"/>
        </w:rPr>
        <w:t>meeting, and</w:t>
      </w:r>
      <w:proofErr w:type="gramEnd"/>
      <w:r w:rsidRPr="00A35F90">
        <w:rPr>
          <w:rFonts w:ascii="Times New Roman" w:hAnsi="Times New Roman"/>
          <w:sz w:val="22"/>
        </w:rPr>
        <w:t xml:space="preserve"> shall be given to the external auditor of the Company, so that the auditor shall be entitled to attend and be heard thereat.</w:t>
      </w:r>
    </w:p>
    <w:p w14:paraId="36AFC893" w14:textId="77777777" w:rsidR="00EC1D63" w:rsidRPr="00A35F90" w:rsidRDefault="00EC1D63" w:rsidP="00A35F90">
      <w:pPr>
        <w:pStyle w:val="ListParagraph"/>
        <w:spacing w:after="0"/>
        <w:ind w:left="360"/>
        <w:rPr>
          <w:rFonts w:ascii="Times New Roman" w:hAnsi="Times New Roman"/>
          <w:sz w:val="22"/>
        </w:rPr>
      </w:pPr>
    </w:p>
    <w:p w14:paraId="10AE7F5B"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may invite such officers, directors and employees of the Company as it may see fit from time to time to attend at meetings of the Committee and assist thereat in the discussion and consideration of any matter.  The Committee shall meet privately with the external auditor without management present, at each regular meeting.</w:t>
      </w:r>
    </w:p>
    <w:p w14:paraId="11587245" w14:textId="77777777" w:rsidR="00EC1D63" w:rsidRPr="00A35F90" w:rsidRDefault="00EC1D63" w:rsidP="00A35F90">
      <w:pPr>
        <w:pStyle w:val="ListParagraph"/>
        <w:spacing w:after="0"/>
        <w:ind w:left="360"/>
        <w:rPr>
          <w:rFonts w:ascii="Times New Roman" w:hAnsi="Times New Roman"/>
          <w:sz w:val="22"/>
        </w:rPr>
      </w:pPr>
    </w:p>
    <w:p w14:paraId="09247AFD"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A quorum shall be a majority of the members.</w:t>
      </w:r>
    </w:p>
    <w:p w14:paraId="578EFF0B" w14:textId="77777777" w:rsidR="00EC1D63" w:rsidRPr="00A35F90" w:rsidRDefault="00EC1D63" w:rsidP="00A35F90">
      <w:pPr>
        <w:pStyle w:val="ListParagraph"/>
        <w:spacing w:after="0"/>
        <w:ind w:left="360"/>
        <w:rPr>
          <w:rFonts w:ascii="Times New Roman" w:hAnsi="Times New Roman"/>
          <w:sz w:val="22"/>
        </w:rPr>
      </w:pPr>
    </w:p>
    <w:p w14:paraId="23DB3F9C"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In the absence of the Chair of the Committee, the members shall appoint an acting Chair.</w:t>
      </w:r>
    </w:p>
    <w:p w14:paraId="2D240BC1" w14:textId="77777777" w:rsidR="00EC1D63" w:rsidRPr="00A35F90" w:rsidRDefault="00EC1D63" w:rsidP="00A35F90">
      <w:pPr>
        <w:pStyle w:val="ListParagraph"/>
        <w:spacing w:after="0"/>
        <w:ind w:left="360"/>
        <w:rPr>
          <w:rFonts w:ascii="Times New Roman" w:hAnsi="Times New Roman"/>
          <w:sz w:val="22"/>
        </w:rPr>
      </w:pPr>
    </w:p>
    <w:p w14:paraId="5AE3BAE9"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shall maintain minutes or other records of its meetings and activities.  A copy of the minutes of each meeting of the Committee shall be made available, upon request, to each member of the Committee and to each Director of the Company.</w:t>
      </w:r>
    </w:p>
    <w:p w14:paraId="6D8667A4" w14:textId="77777777" w:rsidR="00EC1D63" w:rsidRPr="00A35F90" w:rsidRDefault="00EC1D63" w:rsidP="00A35F90">
      <w:pPr>
        <w:pStyle w:val="ListParagraph"/>
        <w:spacing w:after="0"/>
        <w:ind w:left="360"/>
        <w:rPr>
          <w:rFonts w:ascii="Times New Roman" w:hAnsi="Times New Roman"/>
          <w:sz w:val="22"/>
        </w:rPr>
      </w:pPr>
    </w:p>
    <w:p w14:paraId="5842E71A"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Chair of the Committee shall prepare and/or approve an agenda in advance of each meeting.</w:t>
      </w:r>
    </w:p>
    <w:p w14:paraId="19A8B946" w14:textId="77777777" w:rsidR="00EC1D63" w:rsidRPr="00A35F90" w:rsidRDefault="00EC1D63" w:rsidP="00A35F90">
      <w:pPr>
        <w:pStyle w:val="ListParagraph"/>
        <w:spacing w:after="0"/>
        <w:ind w:left="360"/>
        <w:rPr>
          <w:rFonts w:ascii="Times New Roman" w:hAnsi="Times New Roman"/>
          <w:sz w:val="22"/>
        </w:rPr>
      </w:pPr>
    </w:p>
    <w:p w14:paraId="78D86A53"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in consultation with management and the external auditors, shall develop and participate in a process for review of important financial topics that have the potential to impact the Company's financial policies and disclosures.</w:t>
      </w:r>
    </w:p>
    <w:p w14:paraId="2173DF53" w14:textId="77777777" w:rsidR="00EC1D63" w:rsidRPr="00A35F90" w:rsidRDefault="00EC1D63" w:rsidP="00A35F90">
      <w:pPr>
        <w:pStyle w:val="ListParagraph"/>
        <w:spacing w:after="0"/>
        <w:ind w:left="360"/>
        <w:rPr>
          <w:rFonts w:ascii="Times New Roman" w:hAnsi="Times New Roman"/>
          <w:sz w:val="22"/>
        </w:rPr>
      </w:pPr>
    </w:p>
    <w:p w14:paraId="754B3FA7"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shall communicate its expectations to management and the external auditor with respect to the nature, timing and extent of its information needs. The Committee expects that written materials will be received from management and the external auditor in advance of meeting dates.</w:t>
      </w:r>
    </w:p>
    <w:p w14:paraId="62D5D4F7" w14:textId="77777777" w:rsidR="00EC1D63" w:rsidRPr="00A35F90" w:rsidRDefault="00EC1D63" w:rsidP="00A35F90">
      <w:pPr>
        <w:pStyle w:val="ListParagraph"/>
        <w:spacing w:after="0"/>
        <w:ind w:left="360"/>
        <w:rPr>
          <w:rFonts w:ascii="Times New Roman" w:hAnsi="Times New Roman"/>
          <w:sz w:val="22"/>
        </w:rPr>
      </w:pPr>
    </w:p>
    <w:p w14:paraId="4057E5C4"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should meet privately in executive session at least quarterly with management, the external auditor and as a committee to discuss any matters that the Committee or each of these groups believe should be discussed.</w:t>
      </w:r>
    </w:p>
    <w:p w14:paraId="07166879" w14:textId="77777777" w:rsidR="00EC1D63" w:rsidRPr="00A35F90" w:rsidRDefault="00EC1D63" w:rsidP="00A35F90">
      <w:pPr>
        <w:pStyle w:val="ListParagraph"/>
        <w:spacing w:after="0"/>
        <w:ind w:left="360"/>
        <w:rPr>
          <w:rFonts w:ascii="Times New Roman" w:hAnsi="Times New Roman"/>
          <w:sz w:val="22"/>
        </w:rPr>
      </w:pPr>
    </w:p>
    <w:p w14:paraId="01B29C63"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In addition, the Committee or at least its Chair should communicate with management and the external auditor quarterly to review the Company's financial statements and significant findings based upon the auditor's limited review procedures.</w:t>
      </w:r>
    </w:p>
    <w:p w14:paraId="3C263ECF" w14:textId="77777777" w:rsidR="00EC1D63" w:rsidRPr="00A35F90" w:rsidRDefault="00EC1D63" w:rsidP="00A35F90">
      <w:pPr>
        <w:pStyle w:val="ListParagraph"/>
        <w:spacing w:after="0"/>
        <w:ind w:left="360"/>
        <w:rPr>
          <w:rFonts w:ascii="Times New Roman" w:hAnsi="Times New Roman"/>
          <w:sz w:val="22"/>
        </w:rPr>
      </w:pPr>
    </w:p>
    <w:p w14:paraId="22445190"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shall annually review, discuss and assess its own performance. In addition, the Committee shall periodically review its role and responsibilities.</w:t>
      </w:r>
    </w:p>
    <w:p w14:paraId="31F9BAEF" w14:textId="77777777" w:rsidR="00EC1D63" w:rsidRPr="00A35F90" w:rsidRDefault="00EC1D63" w:rsidP="00A35F90">
      <w:pPr>
        <w:pStyle w:val="ListParagraph"/>
        <w:spacing w:after="0"/>
        <w:ind w:left="360"/>
        <w:rPr>
          <w:rFonts w:ascii="Times New Roman" w:hAnsi="Times New Roman"/>
          <w:sz w:val="22"/>
        </w:rPr>
      </w:pPr>
    </w:p>
    <w:p w14:paraId="54853073" w14:textId="77777777"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The Committee expects that the external auditor, in discharging its responsibilities to the shareholders, shall be accountable to the Board through the Committee.  The external auditor shall report all material issues or potentially material issues to the Committee.</w:t>
      </w:r>
    </w:p>
    <w:p w14:paraId="14A08C83" w14:textId="77777777" w:rsidR="00EC1D63" w:rsidRPr="00F40411" w:rsidRDefault="00EC1D63" w:rsidP="00EC1D63">
      <w:pPr>
        <w:pStyle w:val="ListParagraph"/>
        <w:spacing w:after="0"/>
        <w:ind w:left="0"/>
        <w:rPr>
          <w:rFonts w:ascii="Times New Roman" w:hAnsi="Times New Roman"/>
          <w:sz w:val="22"/>
          <w:szCs w:val="22"/>
        </w:rPr>
      </w:pPr>
    </w:p>
    <w:p w14:paraId="6E3B442B" w14:textId="77777777" w:rsidR="00EC1D63" w:rsidRPr="00A35F90" w:rsidRDefault="00EC1D63" w:rsidP="00A35F90">
      <w:pPr>
        <w:keepNext/>
        <w:spacing w:after="0"/>
        <w:rPr>
          <w:rFonts w:ascii="Times New Roman" w:hAnsi="Times New Roman"/>
          <w:b/>
          <w:sz w:val="22"/>
        </w:rPr>
      </w:pPr>
      <w:r w:rsidRPr="00A35F90">
        <w:rPr>
          <w:rFonts w:ascii="Times New Roman" w:hAnsi="Times New Roman"/>
          <w:b/>
          <w:sz w:val="22"/>
        </w:rPr>
        <w:lastRenderedPageBreak/>
        <w:t>Review Procedures</w:t>
      </w:r>
    </w:p>
    <w:p w14:paraId="72B329DE" w14:textId="73400CDE" w:rsidR="00EC1D63" w:rsidRPr="00F40411" w:rsidRDefault="00EC1D63" w:rsidP="00EC1D63">
      <w:pPr>
        <w:keepNext/>
        <w:spacing w:after="0"/>
        <w:rPr>
          <w:rFonts w:ascii="Times New Roman" w:hAnsi="Times New Roman"/>
          <w:b/>
          <w:sz w:val="22"/>
          <w:szCs w:val="22"/>
        </w:rPr>
      </w:pPr>
    </w:p>
    <w:p w14:paraId="5E5A1A6A" w14:textId="15139A9E" w:rsidR="00EC1D63" w:rsidRPr="00A35F90" w:rsidRDefault="00EC1D63" w:rsidP="00A35F90">
      <w:pPr>
        <w:pStyle w:val="ListParagraph"/>
        <w:numPr>
          <w:ilvl w:val="0"/>
          <w:numId w:val="2"/>
        </w:numPr>
        <w:spacing w:after="0"/>
        <w:rPr>
          <w:rFonts w:ascii="Times New Roman" w:hAnsi="Times New Roman"/>
          <w:sz w:val="22"/>
        </w:rPr>
      </w:pPr>
      <w:r w:rsidRPr="00A35F90">
        <w:rPr>
          <w:rFonts w:ascii="Times New Roman" w:hAnsi="Times New Roman"/>
          <w:sz w:val="22"/>
        </w:rPr>
        <w:t xml:space="preserve">The Committee shall review and reassess the adequacy of this Charter at least annually, submit any proposed changes to the Board for approval and ensure that it is in compliance with TSX, OSC, SEC and NYSE </w:t>
      </w:r>
      <w:r w:rsidR="00B5380C">
        <w:rPr>
          <w:rFonts w:ascii="Times New Roman" w:hAnsi="Times New Roman"/>
          <w:sz w:val="22"/>
        </w:rPr>
        <w:t>American</w:t>
      </w:r>
      <w:r w:rsidRPr="00A35F90">
        <w:rPr>
          <w:rFonts w:ascii="Times New Roman" w:hAnsi="Times New Roman"/>
          <w:sz w:val="22"/>
        </w:rPr>
        <w:t xml:space="preserve"> regulations.</w:t>
      </w:r>
    </w:p>
    <w:p w14:paraId="41B43C95" w14:textId="7B3A8C2B" w:rsidR="00A879BE" w:rsidRPr="00A35F90" w:rsidRDefault="00A879BE" w:rsidP="00A35F90"/>
    <w:sectPr w:rsidR="00A879BE" w:rsidRPr="00A35F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9CCF" w14:textId="77777777" w:rsidR="00F2782C" w:rsidRDefault="00F2782C" w:rsidP="00897E4E">
      <w:pPr>
        <w:spacing w:after="0"/>
      </w:pPr>
      <w:r>
        <w:separator/>
      </w:r>
    </w:p>
  </w:endnote>
  <w:endnote w:type="continuationSeparator" w:id="0">
    <w:p w14:paraId="38CE5D3D" w14:textId="77777777" w:rsidR="00F2782C" w:rsidRDefault="00F2782C" w:rsidP="00897E4E">
      <w:pPr>
        <w:spacing w:after="0"/>
      </w:pPr>
      <w:r>
        <w:continuationSeparator/>
      </w:r>
    </w:p>
  </w:endnote>
  <w:endnote w:type="continuationNotice" w:id="1">
    <w:p w14:paraId="0BE16E86" w14:textId="77777777" w:rsidR="00F2782C" w:rsidRDefault="00F278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032787"/>
      <w:docPartObj>
        <w:docPartGallery w:val="Page Numbers (Bottom of Page)"/>
        <w:docPartUnique/>
      </w:docPartObj>
    </w:sdtPr>
    <w:sdtEndPr>
      <w:rPr>
        <w:noProof/>
      </w:rPr>
    </w:sdtEndPr>
    <w:sdtContent>
      <w:p w14:paraId="124A974F" w14:textId="1792BABA" w:rsidR="00D247DE" w:rsidRDefault="00D247DE">
        <w:pPr>
          <w:pStyle w:val="Footer"/>
          <w:jc w:val="center"/>
        </w:pPr>
        <w:r>
          <w:fldChar w:fldCharType="begin"/>
        </w:r>
        <w:r>
          <w:instrText xml:space="preserve"> PAGE   \* MERGEFORMAT </w:instrText>
        </w:r>
        <w:r>
          <w:fldChar w:fldCharType="separate"/>
        </w:r>
        <w:r w:rsidR="00A06F48">
          <w:rPr>
            <w:noProof/>
          </w:rPr>
          <w:t>5</w:t>
        </w:r>
        <w:r>
          <w:rPr>
            <w:noProof/>
          </w:rPr>
          <w:fldChar w:fldCharType="end"/>
        </w:r>
      </w:p>
    </w:sdtContent>
  </w:sdt>
  <w:p w14:paraId="7B27C918" w14:textId="4B640BD3" w:rsidR="00897E4E" w:rsidRPr="00897E4E" w:rsidRDefault="00897E4E" w:rsidP="00A35F9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B5EA" w14:textId="77777777" w:rsidR="00F2782C" w:rsidRDefault="00F2782C" w:rsidP="00897E4E">
      <w:pPr>
        <w:spacing w:after="0"/>
      </w:pPr>
      <w:r>
        <w:separator/>
      </w:r>
    </w:p>
  </w:footnote>
  <w:footnote w:type="continuationSeparator" w:id="0">
    <w:p w14:paraId="5DB75AAD" w14:textId="77777777" w:rsidR="00F2782C" w:rsidRDefault="00F2782C" w:rsidP="00897E4E">
      <w:pPr>
        <w:spacing w:after="0"/>
      </w:pPr>
      <w:r>
        <w:continuationSeparator/>
      </w:r>
    </w:p>
  </w:footnote>
  <w:footnote w:type="continuationNotice" w:id="1">
    <w:p w14:paraId="56C8B2E7" w14:textId="77777777" w:rsidR="00F2782C" w:rsidRDefault="00F278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31DD" w14:textId="102040A4" w:rsidR="00137BAE" w:rsidRPr="00A35F90" w:rsidRDefault="00137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EE8"/>
    <w:multiLevelType w:val="multilevel"/>
    <w:tmpl w:val="653E7BDC"/>
    <w:lvl w:ilvl="0">
      <w:start w:val="1"/>
      <w:numFmt w:val="upperRoman"/>
      <w:pStyle w:val="Heading1"/>
      <w:suff w:val="nothing"/>
      <w:lvlText w:val="SECTION %1 - "/>
      <w:lvlJc w:val="left"/>
      <w:pPr>
        <w:ind w:left="1350" w:firstLine="0"/>
      </w:pPr>
      <w:rPr>
        <w:rFonts w:ascii="Trebuchet MS" w:hAnsi="Trebuchet MS" w:hint="default"/>
        <w:b/>
        <w:i w:val="0"/>
        <w:caps w:val="0"/>
        <w:strike w:val="0"/>
        <w:dstrike w:val="0"/>
        <w:vanish w:val="0"/>
        <w:sz w:val="24"/>
        <w:szCs w:val="24"/>
        <w:vertAlign w:val="baseline"/>
      </w:rPr>
    </w:lvl>
    <w:lvl w:ilvl="1">
      <w:start w:val="1"/>
      <w:numFmt w:val="decimal"/>
      <w:pStyle w:val="Heading2"/>
      <w:lvlText w:val="%2."/>
      <w:lvlJc w:val="left"/>
      <w:pPr>
        <w:tabs>
          <w:tab w:val="num" w:pos="1094"/>
        </w:tabs>
        <w:ind w:left="1094" w:hanging="720"/>
      </w:pPr>
      <w:rPr>
        <w:rFonts w:ascii="Trebuchet MS" w:hAnsi="Trebuchet MS" w:hint="default"/>
        <w:b/>
        <w:i w:val="0"/>
        <w:caps w:val="0"/>
        <w:strike w:val="0"/>
        <w:dstrike w:val="0"/>
        <w:vanish w:val="0"/>
        <w:sz w:val="20"/>
        <w:szCs w:val="20"/>
        <w:vertAlign w:val="baseline"/>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1" w15:restartNumberingAfterBreak="0">
    <w:nsid w:val="1E9A3CE1"/>
    <w:multiLevelType w:val="hybridMultilevel"/>
    <w:tmpl w:val="12688EF2"/>
    <w:lvl w:ilvl="0" w:tplc="D59EB8D4">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EB4045"/>
    <w:multiLevelType w:val="hybridMultilevel"/>
    <w:tmpl w:val="F5C66ADC"/>
    <w:lvl w:ilvl="0" w:tplc="DCEE2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5057AB"/>
    <w:multiLevelType w:val="multilevel"/>
    <w:tmpl w:val="F71CAA3A"/>
    <w:lvl w:ilvl="0">
      <w:start w:val="1"/>
      <w:numFmt w:val="upperRoman"/>
      <w:pStyle w:val="LML1"/>
      <w:lvlText w:val="%1."/>
      <w:lvlJc w:val="left"/>
      <w:pPr>
        <w:tabs>
          <w:tab w:val="num" w:pos="720"/>
        </w:tabs>
        <w:ind w:left="720" w:hanging="720"/>
      </w:pPr>
      <w:rPr>
        <w:rFonts w:hint="default"/>
      </w:rPr>
    </w:lvl>
    <w:lvl w:ilvl="1">
      <w:start w:val="1"/>
      <w:numFmt w:val="decimal"/>
      <w:pStyle w:val="LML2"/>
      <w:lvlText w:val="%2."/>
      <w:lvlJc w:val="left"/>
      <w:pPr>
        <w:tabs>
          <w:tab w:val="num" w:pos="1440"/>
        </w:tabs>
        <w:ind w:left="1440" w:hanging="720"/>
      </w:pPr>
      <w:rPr>
        <w:rFonts w:hint="default"/>
      </w:rPr>
    </w:lvl>
    <w:lvl w:ilvl="2">
      <w:start w:val="1"/>
      <w:numFmt w:val="lowerLetter"/>
      <w:pStyle w:val="LML3"/>
      <w:lvlText w:val="(%3)"/>
      <w:lvlJc w:val="left"/>
      <w:pPr>
        <w:tabs>
          <w:tab w:val="num" w:pos="2160"/>
        </w:tabs>
        <w:ind w:left="2160" w:hanging="720"/>
      </w:pPr>
      <w:rPr>
        <w:rFonts w:ascii="Times New Roman" w:eastAsia="Times New Roman" w:hAnsi="Times New Roman" w:cs="Times New Roman"/>
      </w:rPr>
    </w:lvl>
    <w:lvl w:ilvl="3">
      <w:start w:val="1"/>
      <w:numFmt w:val="decimal"/>
      <w:pStyle w:val="LML4"/>
      <w:lvlText w:val="%4)"/>
      <w:lvlJc w:val="left"/>
      <w:pPr>
        <w:tabs>
          <w:tab w:val="num" w:pos="2880"/>
        </w:tabs>
        <w:ind w:left="2880" w:hanging="720"/>
      </w:pPr>
      <w:rPr>
        <w:rFonts w:ascii="Times New Roman" w:hAnsi="Times New Roman" w:hint="default"/>
        <w:b w:val="0"/>
        <w:i w:val="0"/>
        <w:sz w:val="24"/>
      </w:rPr>
    </w:lvl>
    <w:lvl w:ilvl="4">
      <w:start w:val="1"/>
      <w:numFmt w:val="lowerLetter"/>
      <w:pStyle w:val="LML5"/>
      <w:lvlText w:val="%5)"/>
      <w:lvlJc w:val="left"/>
      <w:pPr>
        <w:tabs>
          <w:tab w:val="num" w:pos="3600"/>
        </w:tabs>
        <w:ind w:left="3600" w:hanging="720"/>
      </w:pPr>
      <w:rPr>
        <w:rFonts w:hint="default"/>
      </w:rPr>
    </w:lvl>
    <w:lvl w:ilvl="5">
      <w:start w:val="1"/>
      <w:numFmt w:val="lowerRoman"/>
      <w:pStyle w:val="LML6"/>
      <w:lvlText w:val="%6)"/>
      <w:lvlJc w:val="left"/>
      <w:pPr>
        <w:tabs>
          <w:tab w:val="num" w:pos="4320"/>
        </w:tabs>
        <w:ind w:left="4320" w:hanging="720"/>
      </w:pPr>
      <w:rPr>
        <w:rFonts w:hint="default"/>
      </w:rPr>
    </w:lvl>
    <w:lvl w:ilvl="6">
      <w:start w:val="1"/>
      <w:numFmt w:val="bullet"/>
      <w:pStyle w:val="LML7"/>
      <w:lvlText w:val=""/>
      <w:lvlJc w:val="left"/>
      <w:pPr>
        <w:tabs>
          <w:tab w:val="num" w:pos="5040"/>
        </w:tabs>
        <w:ind w:left="5040" w:hanging="720"/>
      </w:pPr>
      <w:rPr>
        <w:rFonts w:ascii="Symbol" w:hAnsi="Symbol" w:hint="default"/>
      </w:rPr>
    </w:lvl>
    <w:lvl w:ilvl="7">
      <w:start w:val="1"/>
      <w:numFmt w:val="bullet"/>
      <w:pStyle w:val="LML8"/>
      <w:lvlText w:val="~"/>
      <w:lvlJc w:val="left"/>
      <w:pPr>
        <w:tabs>
          <w:tab w:val="num" w:pos="5760"/>
        </w:tabs>
        <w:ind w:left="5760" w:hanging="720"/>
      </w:pPr>
      <w:rPr>
        <w:rFonts w:ascii="Times New Roman" w:hAnsi="Times New Roman" w:cs="Times New Roman" w:hint="default"/>
      </w:rPr>
    </w:lvl>
    <w:lvl w:ilvl="8">
      <w:start w:val="1"/>
      <w:numFmt w:val="bullet"/>
      <w:pStyle w:val="LML9"/>
      <w:lvlText w:val=""/>
      <w:lvlJc w:val="left"/>
      <w:pPr>
        <w:tabs>
          <w:tab w:val="num" w:pos="6480"/>
        </w:tabs>
        <w:ind w:left="6480" w:hanging="720"/>
      </w:pPr>
      <w:rPr>
        <w:rFonts w:ascii="Symbol" w:hAnsi="Symbol" w:hint="default"/>
        <w:b w:val="0"/>
        <w:i w:val="0"/>
        <w:sz w:val="24"/>
        <w:szCs w:val="24"/>
      </w:rPr>
    </w:lvl>
  </w:abstractNum>
  <w:abstractNum w:abstractNumId="4" w15:restartNumberingAfterBreak="0">
    <w:nsid w:val="609045CD"/>
    <w:multiLevelType w:val="hybridMultilevel"/>
    <w:tmpl w:val="1C2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63"/>
    <w:rsid w:val="0000715C"/>
    <w:rsid w:val="00007D58"/>
    <w:rsid w:val="000141C1"/>
    <w:rsid w:val="000416E6"/>
    <w:rsid w:val="00041FD7"/>
    <w:rsid w:val="0006090C"/>
    <w:rsid w:val="000661C6"/>
    <w:rsid w:val="000945CC"/>
    <w:rsid w:val="000A0452"/>
    <w:rsid w:val="000A574D"/>
    <w:rsid w:val="000F465D"/>
    <w:rsid w:val="000F573C"/>
    <w:rsid w:val="001025C2"/>
    <w:rsid w:val="00104DDF"/>
    <w:rsid w:val="00131767"/>
    <w:rsid w:val="00137BAE"/>
    <w:rsid w:val="001576DD"/>
    <w:rsid w:val="00173D54"/>
    <w:rsid w:val="00196F6C"/>
    <w:rsid w:val="001A2BDC"/>
    <w:rsid w:val="001B1146"/>
    <w:rsid w:val="001C3942"/>
    <w:rsid w:val="001E033C"/>
    <w:rsid w:val="001F6774"/>
    <w:rsid w:val="00234566"/>
    <w:rsid w:val="0024722B"/>
    <w:rsid w:val="00253103"/>
    <w:rsid w:val="0027289E"/>
    <w:rsid w:val="00283908"/>
    <w:rsid w:val="00294A5D"/>
    <w:rsid w:val="002A2BD1"/>
    <w:rsid w:val="002C5892"/>
    <w:rsid w:val="002D08AA"/>
    <w:rsid w:val="003140B7"/>
    <w:rsid w:val="00317E62"/>
    <w:rsid w:val="00342142"/>
    <w:rsid w:val="003C49B9"/>
    <w:rsid w:val="003E2542"/>
    <w:rsid w:val="00432C33"/>
    <w:rsid w:val="0044064A"/>
    <w:rsid w:val="004427B8"/>
    <w:rsid w:val="00444ABF"/>
    <w:rsid w:val="00453350"/>
    <w:rsid w:val="00462878"/>
    <w:rsid w:val="004864F5"/>
    <w:rsid w:val="004A6621"/>
    <w:rsid w:val="004C5996"/>
    <w:rsid w:val="004C6D12"/>
    <w:rsid w:val="004D77CB"/>
    <w:rsid w:val="004F6A28"/>
    <w:rsid w:val="0050375C"/>
    <w:rsid w:val="00506D55"/>
    <w:rsid w:val="00517870"/>
    <w:rsid w:val="0052498C"/>
    <w:rsid w:val="0055319E"/>
    <w:rsid w:val="00595D1C"/>
    <w:rsid w:val="005C39D9"/>
    <w:rsid w:val="005C39EF"/>
    <w:rsid w:val="005D2A0D"/>
    <w:rsid w:val="005E3948"/>
    <w:rsid w:val="005E7F45"/>
    <w:rsid w:val="005F56FF"/>
    <w:rsid w:val="00623652"/>
    <w:rsid w:val="0064750F"/>
    <w:rsid w:val="00663338"/>
    <w:rsid w:val="006664D0"/>
    <w:rsid w:val="00691F95"/>
    <w:rsid w:val="006A0D6A"/>
    <w:rsid w:val="006A6B60"/>
    <w:rsid w:val="006C0894"/>
    <w:rsid w:val="006E1BFE"/>
    <w:rsid w:val="00703F10"/>
    <w:rsid w:val="007663AF"/>
    <w:rsid w:val="00786E38"/>
    <w:rsid w:val="007A487A"/>
    <w:rsid w:val="007B603B"/>
    <w:rsid w:val="007C1E28"/>
    <w:rsid w:val="007D1824"/>
    <w:rsid w:val="007F2D35"/>
    <w:rsid w:val="00802368"/>
    <w:rsid w:val="00823AB0"/>
    <w:rsid w:val="008301D8"/>
    <w:rsid w:val="008564DA"/>
    <w:rsid w:val="00860C93"/>
    <w:rsid w:val="0087135B"/>
    <w:rsid w:val="008949D3"/>
    <w:rsid w:val="0089726C"/>
    <w:rsid w:val="00897E4E"/>
    <w:rsid w:val="008C7892"/>
    <w:rsid w:val="008E2BF9"/>
    <w:rsid w:val="008E4AE5"/>
    <w:rsid w:val="009020F8"/>
    <w:rsid w:val="009402B7"/>
    <w:rsid w:val="00973935"/>
    <w:rsid w:val="00976167"/>
    <w:rsid w:val="009901ED"/>
    <w:rsid w:val="009F661D"/>
    <w:rsid w:val="00A06F48"/>
    <w:rsid w:val="00A16ED7"/>
    <w:rsid w:val="00A3394E"/>
    <w:rsid w:val="00A34165"/>
    <w:rsid w:val="00A35F90"/>
    <w:rsid w:val="00A879BE"/>
    <w:rsid w:val="00AB586A"/>
    <w:rsid w:val="00AD083A"/>
    <w:rsid w:val="00AD4820"/>
    <w:rsid w:val="00AD5A6A"/>
    <w:rsid w:val="00AD69D8"/>
    <w:rsid w:val="00AF7F36"/>
    <w:rsid w:val="00B443DB"/>
    <w:rsid w:val="00B5380C"/>
    <w:rsid w:val="00B7622D"/>
    <w:rsid w:val="00B85C9B"/>
    <w:rsid w:val="00BB35A9"/>
    <w:rsid w:val="00BB5ABD"/>
    <w:rsid w:val="00BD1A88"/>
    <w:rsid w:val="00BE3102"/>
    <w:rsid w:val="00BE5DC9"/>
    <w:rsid w:val="00C04427"/>
    <w:rsid w:val="00C27432"/>
    <w:rsid w:val="00C40FED"/>
    <w:rsid w:val="00C42B92"/>
    <w:rsid w:val="00C54222"/>
    <w:rsid w:val="00C70445"/>
    <w:rsid w:val="00C82323"/>
    <w:rsid w:val="00C90C5E"/>
    <w:rsid w:val="00CB2AEE"/>
    <w:rsid w:val="00D00129"/>
    <w:rsid w:val="00D13D42"/>
    <w:rsid w:val="00D1605C"/>
    <w:rsid w:val="00D247DE"/>
    <w:rsid w:val="00D419F5"/>
    <w:rsid w:val="00D72927"/>
    <w:rsid w:val="00D74844"/>
    <w:rsid w:val="00D91EA7"/>
    <w:rsid w:val="00D95013"/>
    <w:rsid w:val="00DA35B9"/>
    <w:rsid w:val="00DF1097"/>
    <w:rsid w:val="00E072E2"/>
    <w:rsid w:val="00E074C0"/>
    <w:rsid w:val="00E14D82"/>
    <w:rsid w:val="00E31345"/>
    <w:rsid w:val="00E41D73"/>
    <w:rsid w:val="00E758E7"/>
    <w:rsid w:val="00E833A3"/>
    <w:rsid w:val="00EC1D63"/>
    <w:rsid w:val="00EC655B"/>
    <w:rsid w:val="00EF6661"/>
    <w:rsid w:val="00F256E3"/>
    <w:rsid w:val="00F25A0E"/>
    <w:rsid w:val="00F2782C"/>
    <w:rsid w:val="00F52F6F"/>
    <w:rsid w:val="00F70E8E"/>
    <w:rsid w:val="00FA0DA3"/>
    <w:rsid w:val="00FA7BE0"/>
    <w:rsid w:val="00FB2F7E"/>
    <w:rsid w:val="00FB5D5F"/>
    <w:rsid w:val="00FE1317"/>
    <w:rsid w:val="00FE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1C2"/>
  <w15:docId w15:val="{CC973FEC-3251-42AB-97BD-49C5D9B8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63"/>
    <w:pPr>
      <w:spacing w:after="240" w:line="240" w:lineRule="auto"/>
      <w:jc w:val="both"/>
    </w:pPr>
    <w:rPr>
      <w:rFonts w:ascii="Trebuchet MS" w:eastAsia="Times New Roman" w:hAnsi="Trebuchet MS" w:cs="Times New Roman"/>
      <w:sz w:val="20"/>
      <w:szCs w:val="24"/>
    </w:rPr>
  </w:style>
  <w:style w:type="paragraph" w:styleId="Heading1">
    <w:name w:val="heading 1"/>
    <w:aliases w:val="h1LM"/>
    <w:basedOn w:val="Normal"/>
    <w:next w:val="LMBody"/>
    <w:link w:val="Heading1Char"/>
    <w:qFormat/>
    <w:rsid w:val="00691F95"/>
    <w:pPr>
      <w:keepNext/>
      <w:pageBreakBefore/>
      <w:numPr>
        <w:numId w:val="4"/>
      </w:numPr>
      <w:jc w:val="left"/>
      <w:outlineLvl w:val="0"/>
    </w:pPr>
    <w:rPr>
      <w:rFonts w:cs="Arial"/>
      <w:b/>
      <w:bCs/>
      <w:caps/>
      <w:sz w:val="24"/>
    </w:rPr>
  </w:style>
  <w:style w:type="paragraph" w:styleId="Heading2">
    <w:name w:val="heading 2"/>
    <w:aliases w:val="h2LM"/>
    <w:basedOn w:val="Normal"/>
    <w:next w:val="LMBodyIndent"/>
    <w:link w:val="Heading2Char"/>
    <w:qFormat/>
    <w:rsid w:val="00691F95"/>
    <w:pPr>
      <w:keepNext/>
      <w:numPr>
        <w:ilvl w:val="1"/>
        <w:numId w:val="4"/>
      </w:numPr>
      <w:outlineLvl w:val="1"/>
    </w:pPr>
    <w:rPr>
      <w:rFonts w:cs="Arial"/>
      <w:b/>
      <w:bCs/>
      <w:iCs/>
      <w:szCs w:val="20"/>
    </w:rPr>
  </w:style>
  <w:style w:type="paragraph" w:styleId="Heading3">
    <w:name w:val="heading 3"/>
    <w:aliases w:val="h3LM"/>
    <w:basedOn w:val="Normal"/>
    <w:link w:val="Heading3Char"/>
    <w:qFormat/>
    <w:rsid w:val="00691F95"/>
    <w:pPr>
      <w:numPr>
        <w:ilvl w:val="2"/>
        <w:numId w:val="4"/>
      </w:numPr>
      <w:outlineLvl w:val="2"/>
    </w:pPr>
    <w:rPr>
      <w:rFonts w:cs="Arial"/>
      <w:bCs/>
      <w:szCs w:val="26"/>
    </w:rPr>
  </w:style>
  <w:style w:type="paragraph" w:styleId="Heading4">
    <w:name w:val="heading 4"/>
    <w:aliases w:val="h4LM"/>
    <w:basedOn w:val="Normal"/>
    <w:link w:val="Heading4Char"/>
    <w:qFormat/>
    <w:rsid w:val="00691F95"/>
    <w:pPr>
      <w:numPr>
        <w:ilvl w:val="3"/>
        <w:numId w:val="4"/>
      </w:numPr>
      <w:outlineLvl w:val="3"/>
    </w:pPr>
    <w:rPr>
      <w:bCs/>
      <w:szCs w:val="28"/>
    </w:rPr>
  </w:style>
  <w:style w:type="paragraph" w:styleId="Heading5">
    <w:name w:val="heading 5"/>
    <w:aliases w:val="h5LM,5LM"/>
    <w:basedOn w:val="Normal"/>
    <w:link w:val="Heading5Char"/>
    <w:qFormat/>
    <w:rsid w:val="00691F95"/>
    <w:pPr>
      <w:numPr>
        <w:ilvl w:val="4"/>
        <w:numId w:val="4"/>
      </w:numPr>
      <w:outlineLvl w:val="4"/>
    </w:pPr>
    <w:rPr>
      <w:bCs/>
      <w:iCs/>
      <w:szCs w:val="26"/>
    </w:rPr>
  </w:style>
  <w:style w:type="paragraph" w:styleId="Heading6">
    <w:name w:val="heading 6"/>
    <w:aliases w:val="h6LM"/>
    <w:basedOn w:val="Normal"/>
    <w:link w:val="Heading6Char"/>
    <w:qFormat/>
    <w:rsid w:val="00691F95"/>
    <w:pPr>
      <w:numPr>
        <w:ilvl w:val="5"/>
        <w:numId w:val="4"/>
      </w:numPr>
      <w:outlineLvl w:val="5"/>
    </w:pPr>
    <w:rPr>
      <w:bCs/>
      <w:szCs w:val="22"/>
    </w:rPr>
  </w:style>
  <w:style w:type="paragraph" w:styleId="Heading7">
    <w:name w:val="heading 7"/>
    <w:aliases w:val="h7LM"/>
    <w:basedOn w:val="Normal"/>
    <w:link w:val="Heading7Char"/>
    <w:qFormat/>
    <w:rsid w:val="00691F95"/>
    <w:pPr>
      <w:numPr>
        <w:ilvl w:val="6"/>
        <w:numId w:val="4"/>
      </w:numPr>
      <w:outlineLvl w:val="6"/>
    </w:pPr>
  </w:style>
  <w:style w:type="paragraph" w:styleId="Heading8">
    <w:name w:val="heading 8"/>
    <w:aliases w:val="h8LM"/>
    <w:basedOn w:val="Normal"/>
    <w:link w:val="Heading8Char"/>
    <w:qFormat/>
    <w:rsid w:val="00691F95"/>
    <w:pPr>
      <w:numPr>
        <w:ilvl w:val="7"/>
        <w:numId w:val="4"/>
      </w:numPr>
      <w:outlineLvl w:val="7"/>
    </w:pPr>
    <w:rPr>
      <w:iCs/>
    </w:rPr>
  </w:style>
  <w:style w:type="paragraph" w:styleId="Heading9">
    <w:name w:val="heading 9"/>
    <w:aliases w:val="h9LM"/>
    <w:basedOn w:val="Normal"/>
    <w:link w:val="Heading9Char"/>
    <w:qFormat/>
    <w:rsid w:val="00691F95"/>
    <w:pPr>
      <w:numPr>
        <w:ilvl w:val="8"/>
        <w:numId w:val="4"/>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Body">
    <w:name w:val="LMBody"/>
    <w:aliases w:val="bd"/>
    <w:basedOn w:val="Normal"/>
    <w:rsid w:val="00EC1D63"/>
  </w:style>
  <w:style w:type="paragraph" w:customStyle="1" w:styleId="LMBodyIndent">
    <w:name w:val="LMBodyIndent"/>
    <w:aliases w:val="bi"/>
    <w:basedOn w:val="Normal"/>
    <w:link w:val="LMBodyIndentChar"/>
    <w:rsid w:val="00EC1D63"/>
    <w:pPr>
      <w:ind w:left="720"/>
    </w:pPr>
  </w:style>
  <w:style w:type="paragraph" w:customStyle="1" w:styleId="LML1">
    <w:name w:val="LML1"/>
    <w:aliases w:val="l1"/>
    <w:basedOn w:val="Normal"/>
    <w:rsid w:val="00EC1D63"/>
    <w:pPr>
      <w:keepNext/>
      <w:numPr>
        <w:numId w:val="1"/>
      </w:numPr>
    </w:pPr>
    <w:rPr>
      <w:b/>
      <w:szCs w:val="20"/>
    </w:rPr>
  </w:style>
  <w:style w:type="paragraph" w:customStyle="1" w:styleId="LML2">
    <w:name w:val="LML2"/>
    <w:aliases w:val="l2"/>
    <w:basedOn w:val="Normal"/>
    <w:link w:val="LML2Char"/>
    <w:rsid w:val="00EC1D63"/>
    <w:pPr>
      <w:numPr>
        <w:ilvl w:val="1"/>
        <w:numId w:val="1"/>
      </w:numPr>
    </w:pPr>
    <w:rPr>
      <w:lang w:val="en-CA"/>
    </w:rPr>
  </w:style>
  <w:style w:type="paragraph" w:customStyle="1" w:styleId="LML3">
    <w:name w:val="LML3"/>
    <w:aliases w:val="l3"/>
    <w:basedOn w:val="Normal"/>
    <w:rsid w:val="00EC1D63"/>
    <w:pPr>
      <w:numPr>
        <w:ilvl w:val="2"/>
        <w:numId w:val="1"/>
      </w:numPr>
    </w:pPr>
  </w:style>
  <w:style w:type="paragraph" w:customStyle="1" w:styleId="LML4">
    <w:name w:val="LML4"/>
    <w:aliases w:val="l4"/>
    <w:basedOn w:val="Normal"/>
    <w:semiHidden/>
    <w:rsid w:val="00EC1D63"/>
    <w:pPr>
      <w:numPr>
        <w:ilvl w:val="3"/>
        <w:numId w:val="1"/>
      </w:numPr>
    </w:pPr>
    <w:rPr>
      <w:lang w:val="en-CA"/>
    </w:rPr>
  </w:style>
  <w:style w:type="paragraph" w:customStyle="1" w:styleId="LML5">
    <w:name w:val="LML5"/>
    <w:aliases w:val="l5"/>
    <w:basedOn w:val="Normal"/>
    <w:semiHidden/>
    <w:rsid w:val="00EC1D63"/>
    <w:pPr>
      <w:numPr>
        <w:ilvl w:val="4"/>
        <w:numId w:val="1"/>
      </w:numPr>
    </w:pPr>
    <w:rPr>
      <w:lang w:val="en-CA"/>
    </w:rPr>
  </w:style>
  <w:style w:type="paragraph" w:customStyle="1" w:styleId="LML6">
    <w:name w:val="LML6"/>
    <w:aliases w:val="l6"/>
    <w:basedOn w:val="Normal"/>
    <w:semiHidden/>
    <w:rsid w:val="00EC1D63"/>
    <w:pPr>
      <w:numPr>
        <w:ilvl w:val="5"/>
        <w:numId w:val="1"/>
      </w:numPr>
    </w:pPr>
    <w:rPr>
      <w:lang w:val="en-CA"/>
    </w:rPr>
  </w:style>
  <w:style w:type="paragraph" w:customStyle="1" w:styleId="LML7">
    <w:name w:val="LML7"/>
    <w:aliases w:val="l7"/>
    <w:basedOn w:val="Normal"/>
    <w:semiHidden/>
    <w:rsid w:val="00EC1D63"/>
    <w:pPr>
      <w:numPr>
        <w:ilvl w:val="6"/>
        <w:numId w:val="1"/>
      </w:numPr>
    </w:pPr>
    <w:rPr>
      <w:lang w:val="en-CA"/>
    </w:rPr>
  </w:style>
  <w:style w:type="paragraph" w:customStyle="1" w:styleId="LML8">
    <w:name w:val="LML8"/>
    <w:aliases w:val="l8"/>
    <w:basedOn w:val="Normal"/>
    <w:semiHidden/>
    <w:rsid w:val="00EC1D63"/>
    <w:pPr>
      <w:numPr>
        <w:ilvl w:val="7"/>
        <w:numId w:val="1"/>
      </w:numPr>
    </w:pPr>
    <w:rPr>
      <w:lang w:val="en-CA"/>
    </w:rPr>
  </w:style>
  <w:style w:type="paragraph" w:customStyle="1" w:styleId="LML9">
    <w:name w:val="LML9"/>
    <w:aliases w:val="l9"/>
    <w:basedOn w:val="Normal"/>
    <w:semiHidden/>
    <w:rsid w:val="00EC1D63"/>
    <w:pPr>
      <w:numPr>
        <w:ilvl w:val="8"/>
        <w:numId w:val="1"/>
      </w:numPr>
    </w:pPr>
    <w:rPr>
      <w:lang w:val="en-CA"/>
    </w:rPr>
  </w:style>
  <w:style w:type="paragraph" w:styleId="Header">
    <w:name w:val="header"/>
    <w:basedOn w:val="Normal"/>
    <w:link w:val="HeaderChar"/>
    <w:uiPriority w:val="99"/>
    <w:rsid w:val="00691F95"/>
    <w:pPr>
      <w:tabs>
        <w:tab w:val="center" w:pos="4675"/>
        <w:tab w:val="right" w:pos="9350"/>
      </w:tabs>
    </w:pPr>
  </w:style>
  <w:style w:type="character" w:customStyle="1" w:styleId="HeaderChar">
    <w:name w:val="Header Char"/>
    <w:basedOn w:val="DefaultParagraphFont"/>
    <w:link w:val="Header"/>
    <w:uiPriority w:val="99"/>
    <w:rsid w:val="00EC1D63"/>
    <w:rPr>
      <w:rFonts w:ascii="Trebuchet MS" w:eastAsia="Times New Roman" w:hAnsi="Trebuchet MS" w:cs="Times New Roman"/>
      <w:sz w:val="20"/>
      <w:szCs w:val="24"/>
    </w:rPr>
  </w:style>
  <w:style w:type="character" w:customStyle="1" w:styleId="LMBodyIndentChar">
    <w:name w:val="LMBodyIndent Char"/>
    <w:aliases w:val="bi Char"/>
    <w:link w:val="LMBodyIndent"/>
    <w:rsid w:val="00EC1D63"/>
    <w:rPr>
      <w:rFonts w:ascii="Trebuchet MS" w:eastAsia="Times New Roman" w:hAnsi="Trebuchet MS" w:cs="Times New Roman"/>
      <w:sz w:val="20"/>
      <w:szCs w:val="24"/>
    </w:rPr>
  </w:style>
  <w:style w:type="character" w:customStyle="1" w:styleId="LML2Char">
    <w:name w:val="LML2 Char"/>
    <w:aliases w:val="l2 Char"/>
    <w:link w:val="LML2"/>
    <w:rsid w:val="00EC1D63"/>
    <w:rPr>
      <w:rFonts w:ascii="Trebuchet MS" w:eastAsia="Times New Roman" w:hAnsi="Trebuchet MS" w:cs="Times New Roman"/>
      <w:sz w:val="20"/>
      <w:szCs w:val="24"/>
      <w:lang w:val="en-CA"/>
    </w:rPr>
  </w:style>
  <w:style w:type="paragraph" w:styleId="ListParagraph">
    <w:name w:val="List Paragraph"/>
    <w:basedOn w:val="Normal"/>
    <w:uiPriority w:val="34"/>
    <w:qFormat/>
    <w:rsid w:val="00EC1D63"/>
    <w:pPr>
      <w:ind w:left="720"/>
      <w:contextualSpacing/>
    </w:pPr>
  </w:style>
  <w:style w:type="paragraph" w:styleId="Footer">
    <w:name w:val="footer"/>
    <w:basedOn w:val="Normal"/>
    <w:link w:val="FooterChar"/>
    <w:uiPriority w:val="99"/>
    <w:unhideWhenUsed/>
    <w:rsid w:val="00897E4E"/>
    <w:pPr>
      <w:tabs>
        <w:tab w:val="center" w:pos="4680"/>
        <w:tab w:val="right" w:pos="9360"/>
      </w:tabs>
      <w:spacing w:after="0"/>
    </w:pPr>
  </w:style>
  <w:style w:type="character" w:customStyle="1" w:styleId="FooterChar">
    <w:name w:val="Footer Char"/>
    <w:basedOn w:val="DefaultParagraphFont"/>
    <w:link w:val="Footer"/>
    <w:uiPriority w:val="99"/>
    <w:rsid w:val="00897E4E"/>
    <w:rPr>
      <w:rFonts w:ascii="Trebuchet MS" w:eastAsia="Times New Roman" w:hAnsi="Trebuchet MS" w:cs="Times New Roman"/>
      <w:sz w:val="20"/>
      <w:szCs w:val="24"/>
    </w:rPr>
  </w:style>
  <w:style w:type="paragraph" w:customStyle="1" w:styleId="DocID">
    <w:name w:val="DocID"/>
    <w:basedOn w:val="Footer"/>
    <w:next w:val="Footer"/>
    <w:link w:val="DocIDChar"/>
    <w:rsid w:val="00897E4E"/>
    <w:pPr>
      <w:tabs>
        <w:tab w:val="clear" w:pos="4680"/>
        <w:tab w:val="clear" w:pos="9360"/>
      </w:tabs>
      <w:jc w:val="left"/>
    </w:pPr>
    <w:rPr>
      <w:rFonts w:ascii="Times New Roman" w:hAnsi="Times New Roman"/>
      <w:sz w:val="16"/>
      <w:szCs w:val="22"/>
    </w:rPr>
  </w:style>
  <w:style w:type="character" w:customStyle="1" w:styleId="DocIDChar">
    <w:name w:val="DocID Char"/>
    <w:basedOn w:val="DefaultParagraphFont"/>
    <w:link w:val="DocID"/>
    <w:rsid w:val="00897E4E"/>
    <w:rPr>
      <w:rFonts w:ascii="Times New Roman" w:eastAsia="Times New Roman" w:hAnsi="Times New Roman" w:cs="Times New Roman"/>
      <w:sz w:val="16"/>
    </w:rPr>
  </w:style>
  <w:style w:type="character" w:customStyle="1" w:styleId="Heading1Char">
    <w:name w:val="Heading 1 Char"/>
    <w:aliases w:val="h1LM Char"/>
    <w:basedOn w:val="DefaultParagraphFont"/>
    <w:link w:val="Heading1"/>
    <w:rsid w:val="00691F95"/>
    <w:rPr>
      <w:rFonts w:ascii="Trebuchet MS" w:eastAsia="Times New Roman" w:hAnsi="Trebuchet MS" w:cs="Arial"/>
      <w:b/>
      <w:bCs/>
      <w:caps/>
      <w:sz w:val="24"/>
      <w:szCs w:val="24"/>
    </w:rPr>
  </w:style>
  <w:style w:type="character" w:customStyle="1" w:styleId="Heading2Char">
    <w:name w:val="Heading 2 Char"/>
    <w:aliases w:val="h2LM Char"/>
    <w:basedOn w:val="DefaultParagraphFont"/>
    <w:link w:val="Heading2"/>
    <w:rsid w:val="00691F95"/>
    <w:rPr>
      <w:rFonts w:ascii="Trebuchet MS" w:eastAsia="Times New Roman" w:hAnsi="Trebuchet MS" w:cs="Arial"/>
      <w:b/>
      <w:bCs/>
      <w:iCs/>
      <w:sz w:val="20"/>
      <w:szCs w:val="20"/>
    </w:rPr>
  </w:style>
  <w:style w:type="character" w:customStyle="1" w:styleId="Heading3Char">
    <w:name w:val="Heading 3 Char"/>
    <w:aliases w:val="h3LM Char"/>
    <w:basedOn w:val="DefaultParagraphFont"/>
    <w:link w:val="Heading3"/>
    <w:rsid w:val="00691F95"/>
    <w:rPr>
      <w:rFonts w:ascii="Trebuchet MS" w:eastAsia="Times New Roman" w:hAnsi="Trebuchet MS" w:cs="Arial"/>
      <w:bCs/>
      <w:sz w:val="20"/>
      <w:szCs w:val="26"/>
    </w:rPr>
  </w:style>
  <w:style w:type="character" w:customStyle="1" w:styleId="Heading4Char">
    <w:name w:val="Heading 4 Char"/>
    <w:aliases w:val="h4LM Char"/>
    <w:basedOn w:val="DefaultParagraphFont"/>
    <w:link w:val="Heading4"/>
    <w:rsid w:val="00691F95"/>
    <w:rPr>
      <w:rFonts w:ascii="Trebuchet MS" w:eastAsia="Times New Roman" w:hAnsi="Trebuchet MS" w:cs="Times New Roman"/>
      <w:bCs/>
      <w:sz w:val="20"/>
      <w:szCs w:val="28"/>
    </w:rPr>
  </w:style>
  <w:style w:type="character" w:customStyle="1" w:styleId="Heading5Char">
    <w:name w:val="Heading 5 Char"/>
    <w:aliases w:val="h5LM Char,5LM Char"/>
    <w:basedOn w:val="DefaultParagraphFont"/>
    <w:link w:val="Heading5"/>
    <w:rsid w:val="00691F95"/>
    <w:rPr>
      <w:rFonts w:ascii="Trebuchet MS" w:eastAsia="Times New Roman" w:hAnsi="Trebuchet MS" w:cs="Times New Roman"/>
      <w:bCs/>
      <w:iCs/>
      <w:sz w:val="20"/>
      <w:szCs w:val="26"/>
    </w:rPr>
  </w:style>
  <w:style w:type="character" w:customStyle="1" w:styleId="Heading6Char">
    <w:name w:val="Heading 6 Char"/>
    <w:aliases w:val="h6LM Char"/>
    <w:basedOn w:val="DefaultParagraphFont"/>
    <w:link w:val="Heading6"/>
    <w:rsid w:val="00691F95"/>
    <w:rPr>
      <w:rFonts w:ascii="Trebuchet MS" w:eastAsia="Times New Roman" w:hAnsi="Trebuchet MS" w:cs="Times New Roman"/>
      <w:bCs/>
      <w:sz w:val="20"/>
    </w:rPr>
  </w:style>
  <w:style w:type="character" w:customStyle="1" w:styleId="Heading7Char">
    <w:name w:val="Heading 7 Char"/>
    <w:aliases w:val="h7LM Char"/>
    <w:basedOn w:val="DefaultParagraphFont"/>
    <w:link w:val="Heading7"/>
    <w:rsid w:val="00691F95"/>
    <w:rPr>
      <w:rFonts w:ascii="Trebuchet MS" w:eastAsia="Times New Roman" w:hAnsi="Trebuchet MS" w:cs="Times New Roman"/>
      <w:sz w:val="20"/>
      <w:szCs w:val="24"/>
    </w:rPr>
  </w:style>
  <w:style w:type="character" w:customStyle="1" w:styleId="Heading8Char">
    <w:name w:val="Heading 8 Char"/>
    <w:aliases w:val="h8LM Char"/>
    <w:basedOn w:val="DefaultParagraphFont"/>
    <w:link w:val="Heading8"/>
    <w:rsid w:val="00691F95"/>
    <w:rPr>
      <w:rFonts w:ascii="Trebuchet MS" w:eastAsia="Times New Roman" w:hAnsi="Trebuchet MS" w:cs="Times New Roman"/>
      <w:iCs/>
      <w:sz w:val="20"/>
      <w:szCs w:val="24"/>
    </w:rPr>
  </w:style>
  <w:style w:type="character" w:customStyle="1" w:styleId="Heading9Char">
    <w:name w:val="Heading 9 Char"/>
    <w:aliases w:val="h9LM Char"/>
    <w:basedOn w:val="DefaultParagraphFont"/>
    <w:link w:val="Heading9"/>
    <w:rsid w:val="00691F95"/>
    <w:rPr>
      <w:rFonts w:ascii="Trebuchet MS" w:eastAsia="Times New Roman" w:hAnsi="Trebuchet MS" w:cs="Arial"/>
      <w:sz w:val="20"/>
    </w:rPr>
  </w:style>
  <w:style w:type="paragraph" w:customStyle="1" w:styleId="LMBodyFirstIndent">
    <w:name w:val="LMBodyFirstIndent"/>
    <w:aliases w:val="bfi"/>
    <w:basedOn w:val="Normal"/>
    <w:rsid w:val="00691F95"/>
    <w:pPr>
      <w:ind w:firstLine="720"/>
    </w:pPr>
  </w:style>
  <w:style w:type="paragraph" w:customStyle="1" w:styleId="LMAppendixTitle">
    <w:name w:val="LMAppendix Title"/>
    <w:aliases w:val="attl"/>
    <w:basedOn w:val="Normal"/>
    <w:rsid w:val="00691F95"/>
    <w:pPr>
      <w:keepNext/>
      <w:spacing w:after="360"/>
      <w:jc w:val="center"/>
    </w:pPr>
    <w:rPr>
      <w:b/>
      <w:caps/>
      <w:szCs w:val="20"/>
    </w:rPr>
  </w:style>
  <w:style w:type="paragraph" w:styleId="BalloonText">
    <w:name w:val="Balloon Text"/>
    <w:basedOn w:val="Normal"/>
    <w:link w:val="BalloonTextChar"/>
    <w:uiPriority w:val="99"/>
    <w:semiHidden/>
    <w:unhideWhenUsed/>
    <w:rsid w:val="00691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95"/>
    <w:rPr>
      <w:rFonts w:ascii="Tahoma" w:eastAsia="Times New Roman" w:hAnsi="Tahoma" w:cs="Tahoma"/>
      <w:sz w:val="16"/>
      <w:szCs w:val="16"/>
    </w:rPr>
  </w:style>
  <w:style w:type="paragraph" w:styleId="Revision">
    <w:name w:val="Revision"/>
    <w:hidden/>
    <w:uiPriority w:val="99"/>
    <w:semiHidden/>
    <w:rsid w:val="00691F95"/>
    <w:pPr>
      <w:spacing w:after="0" w:line="240" w:lineRule="auto"/>
    </w:pPr>
    <w:rPr>
      <w:rFonts w:ascii="Trebuchet MS" w:eastAsia="Times New Roman" w:hAnsi="Trebuchet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Julia Hoffmeier</cp:lastModifiedBy>
  <cp:revision>5</cp:revision>
  <dcterms:created xsi:type="dcterms:W3CDTF">2019-01-08T18:44:00Z</dcterms:created>
  <dcterms:modified xsi:type="dcterms:W3CDTF">2019-08-14T21:51:00Z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False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FIRST PAGE</vt:lpwstr>
  </property>
  <property fmtid="{D5CDD505-2E9C-101B-9397-08002B2CF9AE}" pid="14" name="CUS_DocIDString">
    <vt:lpwstr>4812-0793-2457False2False</vt:lpwstr>
  </property>
  <property fmtid="{D5CDD505-2E9C-101B-9397-08002B2CF9AE}" pid="15" name="NDDocNumber">
    <vt:lpwstr>4812-0793-2457</vt:lpwstr>
  </property>
  <property fmtid="{D5CDD505-2E9C-101B-9397-08002B2CF9AE}" pid="16" name="CUS_DocIDVersion">
    <vt:lpwstr>2</vt:lpwstr>
  </property>
  <property fmtid="{D5CDD505-2E9C-101B-9397-08002B2CF9AE}" pid="17" name="MAIL_MSG_ID1">
    <vt:lpwstr>gFAA5ajW4yTOEjuJ6VlUzrw2PQ5s/huqHFODGUXZRGYcn3j1FO57y1m3FIdSiB7y5qL6xDU1hAIZ03tY
0m/qJLczvP/WLiqoXBiQ6V7+ZgkWrYzeN0gc5X2FfJavZOllwL8bfN3bxRxsMVeo7xg55YFb8v50
fSVu8F3lKAbEpT8uvrirmGFhA9/BVgP6TIVsD05X0Gw6LRFL70xZwMukOC1bTt7Kzwfjanfiu+hy
/71Mjq+HVjzkOEyJQ</vt:lpwstr>
  </property>
  <property fmtid="{D5CDD505-2E9C-101B-9397-08002B2CF9AE}" pid="18" name="MAIL_MSG_ID2">
    <vt:lpwstr>4vOcl+yG22sRZOHEKGVhPOTXD8jCRr5a9OW/9qvE5FyDw+Zq1b2iAkOa31d
c1BdEXpZyZCJ1J2tdnzZdx6vwXV6Iyj61GoGoA==</vt:lpwstr>
  </property>
  <property fmtid="{D5CDD505-2E9C-101B-9397-08002B2CF9AE}" pid="19" name="RESPONSE_SENDER_NAME">
    <vt:lpwstr>sAAAGYoQX4c3X/JUAVekiEbzQJ/Vscvhe8B2OfeUcvKtCz0=</vt:lpwstr>
  </property>
  <property fmtid="{D5CDD505-2E9C-101B-9397-08002B2CF9AE}" pid="20" name="EMAIL_OWNER_ADDRESS">
    <vt:lpwstr>4AAA6DouqOs9baGKqUecPyOTYq6HS8PwrcFuxOczlfPKbsnfSd2Gw1Th7A==</vt:lpwstr>
  </property>
</Properties>
</file>