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9BF" w:rsidRDefault="00AE09BF" w:rsidP="00AE09BF">
      <w:pPr>
        <w:jc w:val="center"/>
        <w:rPr>
          <w:b/>
        </w:rPr>
      </w:pPr>
      <w:r>
        <w:rPr>
          <w:b/>
        </w:rPr>
        <w:t xml:space="preserve">ENERGY FUELS INC. </w:t>
      </w:r>
    </w:p>
    <w:p w:rsidR="00AE09BF" w:rsidRDefault="007F711B" w:rsidP="00585D13">
      <w:pPr>
        <w:jc w:val="center"/>
        <w:rPr>
          <w:b/>
        </w:rPr>
      </w:pPr>
      <w:r>
        <w:rPr>
          <w:b/>
        </w:rPr>
        <w:t xml:space="preserve">Cash </w:t>
      </w:r>
      <w:r w:rsidR="00DA3BFA">
        <w:rPr>
          <w:b/>
        </w:rPr>
        <w:t>Investment Policy</w:t>
      </w:r>
    </w:p>
    <w:p w:rsidR="00BA74CE" w:rsidRPr="00585D13" w:rsidRDefault="00BA74CE" w:rsidP="00585D13">
      <w:pPr>
        <w:jc w:val="center"/>
        <w:rPr>
          <w:b/>
        </w:rPr>
      </w:pPr>
      <w:r>
        <w:rPr>
          <w:b/>
        </w:rPr>
        <w:t>As approved by the Board on January 22, 2019</w:t>
      </w:r>
    </w:p>
    <w:p w:rsidR="002D4777" w:rsidRDefault="002D4777" w:rsidP="00D21AAB">
      <w:pPr>
        <w:jc w:val="both"/>
        <w:rPr>
          <w:b/>
          <w:u w:val="single"/>
        </w:rPr>
      </w:pPr>
    </w:p>
    <w:p w:rsidR="00DA3BFA" w:rsidRPr="00137165" w:rsidRDefault="00DA3BFA" w:rsidP="00D21AAB">
      <w:pPr>
        <w:jc w:val="both"/>
        <w:rPr>
          <w:b/>
          <w:u w:val="single"/>
        </w:rPr>
      </w:pPr>
      <w:r w:rsidRPr="00137165">
        <w:rPr>
          <w:b/>
          <w:u w:val="single"/>
        </w:rPr>
        <w:t>Objective</w:t>
      </w:r>
    </w:p>
    <w:p w:rsidR="00303076" w:rsidRDefault="00303076" w:rsidP="00D21AAB">
      <w:pPr>
        <w:jc w:val="both"/>
      </w:pPr>
    </w:p>
    <w:p w:rsidR="00585D13" w:rsidRDefault="007F711B" w:rsidP="00D21AAB">
      <w:pPr>
        <w:jc w:val="both"/>
      </w:pPr>
      <w:r>
        <w:t>This</w:t>
      </w:r>
      <w:r w:rsidR="00DA3BFA">
        <w:t xml:space="preserve"> Cash Investment Policy (the </w:t>
      </w:r>
      <w:r w:rsidR="00DA3BFA" w:rsidRPr="00F75816">
        <w:rPr>
          <w:b/>
        </w:rPr>
        <w:t>“CIP”</w:t>
      </w:r>
      <w:r w:rsidR="00DA3BFA">
        <w:t xml:space="preserve">) establishes guidelines and outlines responsibilities regarding the </w:t>
      </w:r>
      <w:r w:rsidR="007C3C57">
        <w:t xml:space="preserve">short-term </w:t>
      </w:r>
      <w:r w:rsidR="00DA3BFA">
        <w:t>investment of surplus cash balances</w:t>
      </w:r>
      <w:r w:rsidR="00AE09BF">
        <w:t xml:space="preserve"> of Energy Fuels Inc. (the </w:t>
      </w:r>
      <w:r w:rsidR="00AE09BF" w:rsidRPr="00F75816">
        <w:rPr>
          <w:b/>
        </w:rPr>
        <w:t>“Company”</w:t>
      </w:r>
      <w:r w:rsidR="00AE09BF">
        <w:t>)</w:t>
      </w:r>
      <w:r w:rsidR="00DA3BFA">
        <w:t>.  Additionally, the CIP:</w:t>
      </w:r>
    </w:p>
    <w:p w:rsidR="002D4777" w:rsidRDefault="002D4777" w:rsidP="00D21AAB">
      <w:pPr>
        <w:jc w:val="both"/>
      </w:pPr>
    </w:p>
    <w:p w:rsidR="00F75816" w:rsidRDefault="00A13817" w:rsidP="00F75816">
      <w:pPr>
        <w:numPr>
          <w:ilvl w:val="0"/>
          <w:numId w:val="1"/>
        </w:numPr>
        <w:jc w:val="both"/>
      </w:pPr>
      <w:r>
        <w:t>defin</w:t>
      </w:r>
      <w:r w:rsidR="00DA3BFA">
        <w:t xml:space="preserve">es </w:t>
      </w:r>
      <w:r w:rsidR="00C230B7">
        <w:t>permissible</w:t>
      </w:r>
      <w:r w:rsidR="00DA3BFA">
        <w:t xml:space="preserve"> investments</w:t>
      </w:r>
      <w:r w:rsidR="00B77587">
        <w:t>;</w:t>
      </w:r>
    </w:p>
    <w:p w:rsidR="00DA3BFA" w:rsidRDefault="00DA3BFA" w:rsidP="00D21AAB">
      <w:pPr>
        <w:numPr>
          <w:ilvl w:val="0"/>
          <w:numId w:val="1"/>
        </w:numPr>
        <w:jc w:val="both"/>
      </w:pPr>
      <w:r>
        <w:t xml:space="preserve">sets </w:t>
      </w:r>
      <w:r w:rsidR="00C230B7">
        <w:t xml:space="preserve">relevant constrains and </w:t>
      </w:r>
      <w:r>
        <w:t>specific guidelines regarding the intention, dollar amount and composition of the portfolio</w:t>
      </w:r>
      <w:r w:rsidR="00B77587">
        <w:t>;</w:t>
      </w:r>
    </w:p>
    <w:p w:rsidR="00DA3BFA" w:rsidRDefault="00DA3BFA" w:rsidP="00D21AAB">
      <w:pPr>
        <w:numPr>
          <w:ilvl w:val="0"/>
          <w:numId w:val="1"/>
        </w:numPr>
        <w:jc w:val="both"/>
      </w:pPr>
      <w:r>
        <w:t>provides for centralized investment authority and control; and</w:t>
      </w:r>
    </w:p>
    <w:p w:rsidR="00DA3BFA" w:rsidRDefault="00DA3BFA" w:rsidP="00D21AAB">
      <w:pPr>
        <w:numPr>
          <w:ilvl w:val="0"/>
          <w:numId w:val="1"/>
        </w:numPr>
        <w:jc w:val="both"/>
      </w:pPr>
      <w:proofErr w:type="gramStart"/>
      <w:r>
        <w:t>establishes</w:t>
      </w:r>
      <w:proofErr w:type="gramEnd"/>
      <w:r>
        <w:t xml:space="preserve"> criteria and a timeline for evaluating the portfolio.</w:t>
      </w:r>
    </w:p>
    <w:p w:rsidR="00DA3BFA" w:rsidRDefault="00DA3BFA" w:rsidP="00D21AAB">
      <w:pPr>
        <w:jc w:val="both"/>
      </w:pPr>
    </w:p>
    <w:p w:rsidR="00DA3BFA" w:rsidRDefault="00DA3BFA" w:rsidP="00D21AAB">
      <w:pPr>
        <w:jc w:val="both"/>
        <w:rPr>
          <w:b/>
          <w:u w:val="single"/>
        </w:rPr>
      </w:pPr>
      <w:r w:rsidRPr="00137165">
        <w:rPr>
          <w:b/>
          <w:u w:val="single"/>
        </w:rPr>
        <w:t>Policy</w:t>
      </w:r>
    </w:p>
    <w:p w:rsidR="00DA3BFA" w:rsidRPr="00137165" w:rsidRDefault="00DA3BFA" w:rsidP="00D21AAB">
      <w:pPr>
        <w:jc w:val="both"/>
        <w:rPr>
          <w:b/>
          <w:u w:val="single"/>
        </w:rPr>
      </w:pPr>
    </w:p>
    <w:p w:rsidR="00DA3BFA" w:rsidRDefault="00615AE4" w:rsidP="00D21AAB">
      <w:pPr>
        <w:jc w:val="both"/>
      </w:pPr>
      <w:r>
        <w:t>The invest</w:t>
      </w:r>
      <w:r w:rsidR="00A13817">
        <w:t xml:space="preserve">ment philosophy of the Company </w:t>
      </w:r>
      <w:proofErr w:type="gramStart"/>
      <w:r w:rsidR="00A13817">
        <w:t xml:space="preserve">shall at all times be </w:t>
      </w:r>
      <w:r>
        <w:t>tailored</w:t>
      </w:r>
      <w:proofErr w:type="gramEnd"/>
      <w:r>
        <w:t xml:space="preserve"> to its needs, and is intended to be flexible and dynamic. </w:t>
      </w:r>
      <w:r w:rsidR="00BA74CE">
        <w:t xml:space="preserve"> </w:t>
      </w:r>
      <w:r w:rsidR="00DA3BFA">
        <w:t xml:space="preserve">In order of importance, the </w:t>
      </w:r>
      <w:r w:rsidR="00AE09BF">
        <w:t>Company</w:t>
      </w:r>
      <w:r w:rsidR="00DA3BFA">
        <w:t>’s short-term investment objectives are:</w:t>
      </w:r>
    </w:p>
    <w:p w:rsidR="00585D13" w:rsidRDefault="00585D13" w:rsidP="00D21AAB">
      <w:pPr>
        <w:jc w:val="both"/>
      </w:pPr>
    </w:p>
    <w:p w:rsidR="00DA3BFA" w:rsidRDefault="00DA3BFA" w:rsidP="00D21AAB">
      <w:pPr>
        <w:numPr>
          <w:ilvl w:val="0"/>
          <w:numId w:val="2"/>
        </w:numPr>
        <w:jc w:val="both"/>
      </w:pPr>
      <w:r>
        <w:t>to preserve principal</w:t>
      </w:r>
      <w:r w:rsidR="00AE09BF">
        <w:t>;</w:t>
      </w:r>
    </w:p>
    <w:p w:rsidR="00F75816" w:rsidRDefault="00F75816" w:rsidP="00F75816">
      <w:pPr>
        <w:ind w:left="720"/>
        <w:jc w:val="both"/>
      </w:pPr>
    </w:p>
    <w:p w:rsidR="00DA3BFA" w:rsidRDefault="00DA3BFA" w:rsidP="007F711B">
      <w:pPr>
        <w:numPr>
          <w:ilvl w:val="0"/>
          <w:numId w:val="2"/>
        </w:numPr>
        <w:jc w:val="both"/>
      </w:pPr>
      <w:r>
        <w:t>to maintain a high degree of liquidity</w:t>
      </w:r>
      <w:r w:rsidR="002638FC">
        <w:t xml:space="preserve"> </w:t>
      </w:r>
      <w:r w:rsidR="00CF7F09">
        <w:t xml:space="preserve">for operating </w:t>
      </w:r>
      <w:r w:rsidR="007C3C57">
        <w:t xml:space="preserve">and </w:t>
      </w:r>
      <w:r w:rsidR="00BA74CE">
        <w:t>working capital purposes</w:t>
      </w:r>
      <w:r>
        <w:t>; and</w:t>
      </w:r>
    </w:p>
    <w:p w:rsidR="00F75816" w:rsidRDefault="00F75816" w:rsidP="00F75816">
      <w:pPr>
        <w:jc w:val="both"/>
      </w:pPr>
    </w:p>
    <w:p w:rsidR="00DA3BFA" w:rsidRDefault="00DA3BFA" w:rsidP="00D21AAB">
      <w:pPr>
        <w:numPr>
          <w:ilvl w:val="0"/>
          <w:numId w:val="2"/>
        </w:numPr>
        <w:jc w:val="both"/>
      </w:pPr>
      <w:proofErr w:type="gramStart"/>
      <w:r>
        <w:t>to</w:t>
      </w:r>
      <w:proofErr w:type="gramEnd"/>
      <w:r>
        <w:t xml:space="preserve"> deliver competitive returns subject to prevailing market conditions</w:t>
      </w:r>
      <w:r w:rsidR="00AE09BF">
        <w:t>.</w:t>
      </w:r>
    </w:p>
    <w:p w:rsidR="00DA3BFA" w:rsidRDefault="00DA3BFA" w:rsidP="00D21AAB">
      <w:pPr>
        <w:jc w:val="both"/>
      </w:pPr>
    </w:p>
    <w:p w:rsidR="007C3C57" w:rsidRDefault="007C3C57" w:rsidP="00D21AAB">
      <w:pPr>
        <w:jc w:val="both"/>
      </w:pPr>
      <w:r>
        <w:t xml:space="preserve">For the purpose of this policy, “short-term investments” are defined as investments with maturities not to exceed eighteen (18) months. </w:t>
      </w:r>
    </w:p>
    <w:p w:rsidR="007C3C57" w:rsidRDefault="007C3C57" w:rsidP="00D21AAB">
      <w:pPr>
        <w:jc w:val="both"/>
      </w:pPr>
    </w:p>
    <w:p w:rsidR="007F711B" w:rsidRDefault="007F711B" w:rsidP="00D21AAB">
      <w:pPr>
        <w:jc w:val="both"/>
        <w:rPr>
          <w:b/>
          <w:u w:val="single"/>
        </w:rPr>
      </w:pPr>
      <w:r>
        <w:rPr>
          <w:b/>
          <w:u w:val="single"/>
        </w:rPr>
        <w:t xml:space="preserve">Responsibility </w:t>
      </w:r>
    </w:p>
    <w:p w:rsidR="007F711B" w:rsidRDefault="007F711B" w:rsidP="00D21AAB">
      <w:pPr>
        <w:jc w:val="both"/>
        <w:rPr>
          <w:b/>
          <w:u w:val="single"/>
        </w:rPr>
      </w:pPr>
    </w:p>
    <w:p w:rsidR="007F711B" w:rsidRDefault="007F711B" w:rsidP="00D21AAB">
      <w:pPr>
        <w:jc w:val="both"/>
      </w:pPr>
      <w:r>
        <w:t xml:space="preserve">The Board of Directors of the Corporation (the </w:t>
      </w:r>
      <w:r w:rsidRPr="00F75816">
        <w:rPr>
          <w:b/>
        </w:rPr>
        <w:t>“Board”</w:t>
      </w:r>
      <w:r>
        <w:t xml:space="preserve">) is responsible for establishing, approving and making changes to this CIP. </w:t>
      </w:r>
      <w:r w:rsidR="00BA74CE">
        <w:t xml:space="preserve"> </w:t>
      </w:r>
      <w:r>
        <w:t xml:space="preserve">The day-to-day administration of the CIP </w:t>
      </w:r>
      <w:proofErr w:type="gramStart"/>
      <w:r>
        <w:t>may be effected</w:t>
      </w:r>
      <w:proofErr w:type="gramEnd"/>
      <w:r>
        <w:t xml:space="preserve"> by any of the following officers and/or authorized personnel of the Company, to wit</w:t>
      </w:r>
      <w:r w:rsidR="003C2467">
        <w:t>,</w:t>
      </w:r>
      <w:r w:rsidR="003C2467" w:rsidRPr="003C2467">
        <w:t xml:space="preserve"> </w:t>
      </w:r>
      <w:r w:rsidR="003C2467">
        <w:t>all and each of whom shall be bound by the terms and parameters of this CIP:</w:t>
      </w:r>
    </w:p>
    <w:p w:rsidR="007F711B" w:rsidRDefault="007F711B" w:rsidP="00D21AAB">
      <w:pPr>
        <w:jc w:val="both"/>
      </w:pPr>
    </w:p>
    <w:p w:rsidR="007F711B" w:rsidRDefault="007F711B" w:rsidP="007F711B">
      <w:pPr>
        <w:numPr>
          <w:ilvl w:val="0"/>
          <w:numId w:val="9"/>
        </w:numPr>
        <w:jc w:val="both"/>
      </w:pPr>
      <w:r>
        <w:t>President and Chief Executive Officer</w:t>
      </w:r>
      <w:r w:rsidR="00135CCB">
        <w:t xml:space="preserve"> </w:t>
      </w:r>
      <w:r w:rsidR="00135CCB" w:rsidRPr="00F75816">
        <w:t>(</w:t>
      </w:r>
      <w:r w:rsidR="00135CCB" w:rsidRPr="00F75816">
        <w:rPr>
          <w:b/>
        </w:rPr>
        <w:t>“CEO”</w:t>
      </w:r>
      <w:r w:rsidR="00135CCB">
        <w:t>)</w:t>
      </w:r>
    </w:p>
    <w:p w:rsidR="007F711B" w:rsidRDefault="007F711B" w:rsidP="007F711B">
      <w:pPr>
        <w:numPr>
          <w:ilvl w:val="0"/>
          <w:numId w:val="9"/>
        </w:numPr>
        <w:jc w:val="both"/>
      </w:pPr>
      <w:r>
        <w:t>Chief Financial Officer</w:t>
      </w:r>
      <w:r w:rsidR="00135CCB">
        <w:t xml:space="preserve"> </w:t>
      </w:r>
      <w:r w:rsidR="00135CCB" w:rsidRPr="00F75816">
        <w:t>(</w:t>
      </w:r>
      <w:r w:rsidR="00135CCB" w:rsidRPr="00F75816">
        <w:rPr>
          <w:b/>
        </w:rPr>
        <w:t>“CFO”</w:t>
      </w:r>
      <w:r w:rsidR="00135CCB" w:rsidRPr="00F75816">
        <w:t>)</w:t>
      </w:r>
      <w:r>
        <w:t xml:space="preserve"> and General Counsel </w:t>
      </w:r>
    </w:p>
    <w:p w:rsidR="007F711B" w:rsidRDefault="007F711B" w:rsidP="007F711B">
      <w:pPr>
        <w:numPr>
          <w:ilvl w:val="0"/>
          <w:numId w:val="9"/>
        </w:numPr>
        <w:jc w:val="both"/>
      </w:pPr>
      <w:r>
        <w:t xml:space="preserve">Chief Accounting Officer </w:t>
      </w:r>
      <w:r w:rsidR="00135CCB" w:rsidRPr="00F75816">
        <w:t>(</w:t>
      </w:r>
      <w:r w:rsidR="00135CCB" w:rsidRPr="00F75816">
        <w:rPr>
          <w:b/>
        </w:rPr>
        <w:t>“CAO”</w:t>
      </w:r>
      <w:r w:rsidR="00135CCB">
        <w:t xml:space="preserve">) </w:t>
      </w:r>
      <w:r>
        <w:t xml:space="preserve">and Controller </w:t>
      </w:r>
    </w:p>
    <w:p w:rsidR="007F711B" w:rsidRDefault="007F711B" w:rsidP="007F711B">
      <w:pPr>
        <w:jc w:val="both"/>
      </w:pPr>
    </w:p>
    <w:p w:rsidR="007F711B" w:rsidRDefault="00135CCB" w:rsidP="00D21AAB">
      <w:pPr>
        <w:jc w:val="both"/>
        <w:rPr>
          <w:b/>
          <w:u w:val="single"/>
        </w:rPr>
      </w:pPr>
      <w:r>
        <w:rPr>
          <w:b/>
          <w:u w:val="single"/>
        </w:rPr>
        <w:t>Safekeeping</w:t>
      </w:r>
      <w:r w:rsidR="00A7164C">
        <w:rPr>
          <w:b/>
          <w:u w:val="single"/>
        </w:rPr>
        <w:t xml:space="preserve"> &amp; Investment Firm Qualifications</w:t>
      </w:r>
    </w:p>
    <w:p w:rsidR="00135CCB" w:rsidRDefault="00135CCB" w:rsidP="00D21AAB">
      <w:pPr>
        <w:jc w:val="both"/>
        <w:rPr>
          <w:b/>
          <w:u w:val="single"/>
        </w:rPr>
      </w:pPr>
    </w:p>
    <w:p w:rsidR="00374861" w:rsidRDefault="00135CCB" w:rsidP="00A7164C">
      <w:pPr>
        <w:jc w:val="both"/>
      </w:pPr>
      <w:r>
        <w:t xml:space="preserve">Investment instructions </w:t>
      </w:r>
      <w:proofErr w:type="gramStart"/>
      <w:r>
        <w:t>will be maintained</w:t>
      </w:r>
      <w:proofErr w:type="gramEnd"/>
      <w:r>
        <w:t xml:space="preserve"> by</w:t>
      </w:r>
      <w:r w:rsidR="00374861">
        <w:t>:</w:t>
      </w:r>
    </w:p>
    <w:p w:rsidR="00374861" w:rsidRDefault="00374861" w:rsidP="00BC0A3D">
      <w:pPr>
        <w:pStyle w:val="ListParagraph"/>
        <w:numPr>
          <w:ilvl w:val="0"/>
          <w:numId w:val="10"/>
        </w:numPr>
        <w:jc w:val="both"/>
      </w:pPr>
      <w:r>
        <w:t>RBC Wealth Management</w:t>
      </w:r>
      <w:r w:rsidR="006B22E2">
        <w:t xml:space="preserve"> located at 1801 California St. Suite 3900, Denver CO</w:t>
      </w:r>
      <w:r>
        <w:t>;</w:t>
      </w:r>
    </w:p>
    <w:p w:rsidR="00374861" w:rsidRDefault="00135CCB" w:rsidP="00BC0A3D">
      <w:pPr>
        <w:pStyle w:val="ListParagraph"/>
        <w:numPr>
          <w:ilvl w:val="0"/>
          <w:numId w:val="10"/>
        </w:numPr>
        <w:jc w:val="both"/>
      </w:pPr>
      <w:r>
        <w:lastRenderedPageBreak/>
        <w:t>Wells Fargo Bank West, NA located at 1740 Broadway, Denver, CO 80274 (beneficiary name</w:t>
      </w:r>
      <w:r w:rsidR="00F75816">
        <w:t>:</w:t>
      </w:r>
      <w:r>
        <w:t xml:space="preserve"> Energy Fuels Holdings Corp.), or its duly acknowledged agents</w:t>
      </w:r>
      <w:r w:rsidR="00374861">
        <w:t>; or</w:t>
      </w:r>
      <w:r>
        <w:t xml:space="preserve"> </w:t>
      </w:r>
    </w:p>
    <w:p w:rsidR="00A7164C" w:rsidRDefault="00135CCB" w:rsidP="00BC0A3D">
      <w:pPr>
        <w:pStyle w:val="ListParagraph"/>
        <w:numPr>
          <w:ilvl w:val="0"/>
          <w:numId w:val="10"/>
        </w:numPr>
        <w:jc w:val="both"/>
      </w:pPr>
      <w:r>
        <w:t xml:space="preserve">another brokerage firm or </w:t>
      </w:r>
      <w:r w:rsidR="00A7164C">
        <w:t>Canadian or U.S. chartered bank</w:t>
      </w:r>
      <w:r>
        <w:t xml:space="preserve"> approved by the President and CEO </w:t>
      </w:r>
      <w:r w:rsidR="00A7164C">
        <w:t>or the CFO and General Counsel, which fulfills the following minimum qualifications</w:t>
      </w:r>
      <w:r w:rsidR="00A7164C" w:rsidRPr="00A7164C">
        <w:t xml:space="preserve"> </w:t>
      </w:r>
      <w:r w:rsidR="00A7164C">
        <w:t>to purchase U.S. Government, Agency, and Money Market securities</w:t>
      </w:r>
      <w:r w:rsidR="006511E7">
        <w:t xml:space="preserve"> (a “</w:t>
      </w:r>
      <w:r w:rsidR="006511E7" w:rsidRPr="006511E7">
        <w:rPr>
          <w:b/>
        </w:rPr>
        <w:t>Qualified Institution</w:t>
      </w:r>
      <w:r w:rsidR="006511E7">
        <w:t>”)</w:t>
      </w:r>
      <w:r w:rsidR="00A7164C">
        <w:t>:</w:t>
      </w:r>
      <w:r w:rsidR="00A7164C" w:rsidRPr="00A7164C">
        <w:t xml:space="preserve"> </w:t>
      </w:r>
    </w:p>
    <w:p w:rsidR="00A7164C" w:rsidRDefault="00A7164C" w:rsidP="00BC0A3D">
      <w:pPr>
        <w:pStyle w:val="ListParagraph"/>
        <w:numPr>
          <w:ilvl w:val="0"/>
          <w:numId w:val="12"/>
        </w:numPr>
        <w:ind w:left="1440"/>
        <w:jc w:val="both"/>
      </w:pPr>
      <w:r>
        <w:t>Minimum market cap of $1 billion; and</w:t>
      </w:r>
    </w:p>
    <w:p w:rsidR="00A7164C" w:rsidRPr="00B77587" w:rsidRDefault="00A7164C" w:rsidP="00BC0A3D">
      <w:pPr>
        <w:pStyle w:val="ListParagraph"/>
        <w:numPr>
          <w:ilvl w:val="0"/>
          <w:numId w:val="12"/>
        </w:numPr>
        <w:ind w:left="1440"/>
        <w:jc w:val="both"/>
      </w:pPr>
      <w:r>
        <w:t xml:space="preserve">Minimum credit rating of </w:t>
      </w:r>
      <w:r w:rsidR="00C523BA">
        <w:t xml:space="preserve">Aa3 </w:t>
      </w:r>
      <w:r>
        <w:t xml:space="preserve">(Moody’s) / </w:t>
      </w:r>
      <w:r w:rsidR="00C523BA">
        <w:t>AA-</w:t>
      </w:r>
      <w:r>
        <w:t xml:space="preserve"> (S&amp;P).</w:t>
      </w:r>
    </w:p>
    <w:p w:rsidR="00A7164C" w:rsidRDefault="00A7164C" w:rsidP="00D21AAB">
      <w:pPr>
        <w:jc w:val="both"/>
        <w:rPr>
          <w:b/>
          <w:u w:val="single"/>
        </w:rPr>
      </w:pPr>
    </w:p>
    <w:p w:rsidR="00DA3BFA" w:rsidRDefault="00DA3BFA" w:rsidP="00D21AAB">
      <w:pPr>
        <w:jc w:val="both"/>
        <w:rPr>
          <w:b/>
          <w:u w:val="single"/>
        </w:rPr>
      </w:pPr>
      <w:r w:rsidRPr="00BB4CE5">
        <w:rPr>
          <w:b/>
          <w:u w:val="single"/>
        </w:rPr>
        <w:t>Investment Guidelines</w:t>
      </w:r>
    </w:p>
    <w:p w:rsidR="00DA3BFA" w:rsidRPr="00BB4CE5" w:rsidRDefault="00DA3BFA" w:rsidP="00D21AAB">
      <w:pPr>
        <w:jc w:val="both"/>
        <w:rPr>
          <w:b/>
          <w:u w:val="single"/>
        </w:rPr>
      </w:pPr>
    </w:p>
    <w:p w:rsidR="00DA3BFA" w:rsidRDefault="00DA3BFA" w:rsidP="00D21AAB">
      <w:pPr>
        <w:jc w:val="both"/>
      </w:pPr>
      <w:r>
        <w:t>The investment process will be guided by strict credit standards and diversification among individual credits to maintain safety of principal.  The after-tax return will be maximized through yield curve utilization, investment instrument selection and efficient execution of investment purchases, as well as limitations on maturities and the use of marketable, negotiable instruments to preserve liquidity.</w:t>
      </w:r>
    </w:p>
    <w:p w:rsidR="00A13817" w:rsidRDefault="00A13817" w:rsidP="00D21AAB">
      <w:pPr>
        <w:jc w:val="both"/>
      </w:pPr>
    </w:p>
    <w:p w:rsidR="00DA3BFA" w:rsidRDefault="00DA3BFA" w:rsidP="00303076">
      <w:pPr>
        <w:numPr>
          <w:ilvl w:val="0"/>
          <w:numId w:val="5"/>
        </w:numPr>
        <w:jc w:val="both"/>
        <w:rPr>
          <w:b/>
        </w:rPr>
      </w:pPr>
      <w:r w:rsidRPr="00BB4CE5">
        <w:rPr>
          <w:b/>
        </w:rPr>
        <w:t>Maturity</w:t>
      </w:r>
    </w:p>
    <w:p w:rsidR="00F75816" w:rsidRPr="00303076" w:rsidRDefault="00F75816" w:rsidP="00F75816">
      <w:pPr>
        <w:ind w:left="720"/>
        <w:jc w:val="both"/>
        <w:rPr>
          <w:b/>
        </w:rPr>
      </w:pPr>
    </w:p>
    <w:p w:rsidR="006B22E2" w:rsidRDefault="006B22E2" w:rsidP="00D21AAB">
      <w:pPr>
        <w:numPr>
          <w:ilvl w:val="1"/>
          <w:numId w:val="5"/>
        </w:numPr>
        <w:jc w:val="both"/>
      </w:pPr>
      <w:r>
        <w:t xml:space="preserve">Up to a total principal amount of US$25 million </w:t>
      </w:r>
      <w:proofErr w:type="gramStart"/>
      <w:r>
        <w:t>may be invested</w:t>
      </w:r>
      <w:proofErr w:type="gramEnd"/>
      <w:r>
        <w:t xml:space="preserve"> in issues with maturities of no more than three years.</w:t>
      </w:r>
    </w:p>
    <w:p w:rsidR="00026AE9" w:rsidRDefault="006B22E2" w:rsidP="00D21AAB">
      <w:pPr>
        <w:numPr>
          <w:ilvl w:val="1"/>
          <w:numId w:val="5"/>
        </w:numPr>
        <w:jc w:val="both"/>
      </w:pPr>
      <w:r>
        <w:t>The remainder of t</w:t>
      </w:r>
      <w:r w:rsidR="00DA3BFA">
        <w:t xml:space="preserve">he portfolio </w:t>
      </w:r>
      <w:proofErr w:type="gramStart"/>
      <w:r w:rsidR="00DA3BFA">
        <w:t>should be invested</w:t>
      </w:r>
      <w:proofErr w:type="gramEnd"/>
      <w:r w:rsidR="00DA3BFA">
        <w:t xml:space="preserve"> in issues with maturities of no more than </w:t>
      </w:r>
      <w:r w:rsidR="007C3C57">
        <w:t xml:space="preserve">eighteen (18) </w:t>
      </w:r>
      <w:r w:rsidR="00DA3BFA">
        <w:t>months</w:t>
      </w:r>
      <w:r w:rsidR="00AE09BF">
        <w:t>.</w:t>
      </w:r>
      <w:r w:rsidR="007C3C57">
        <w:t xml:space="preserve"> </w:t>
      </w:r>
    </w:p>
    <w:p w:rsidR="00DA3BFA" w:rsidRDefault="007C3C57" w:rsidP="00D21AAB">
      <w:pPr>
        <w:numPr>
          <w:ilvl w:val="1"/>
          <w:numId w:val="5"/>
        </w:numPr>
        <w:jc w:val="both"/>
      </w:pPr>
      <w:r>
        <w:t xml:space="preserve">If management determines that it is in the best interest of the Company to </w:t>
      </w:r>
      <w:r w:rsidR="00A7164C">
        <w:t>utilize</w:t>
      </w:r>
      <w:r>
        <w:t xml:space="preserve"> long-term investments for the purpose of raising strategic cash, it may do so with the prior approval of the Board</w:t>
      </w:r>
      <w:r w:rsidR="000901E4">
        <w:t>, subject to annual re-approval</w:t>
      </w:r>
      <w:r>
        <w:t xml:space="preserve">. </w:t>
      </w:r>
    </w:p>
    <w:p w:rsidR="00DA3BFA" w:rsidRDefault="00DA3BFA" w:rsidP="00D21AAB">
      <w:pPr>
        <w:numPr>
          <w:ilvl w:val="1"/>
          <w:numId w:val="5"/>
        </w:numPr>
        <w:jc w:val="both"/>
      </w:pPr>
      <w:r>
        <w:t>For securities which have put dates, reset dates or trade based on their average maturity, the put date, reset date or average maturity will be used instead of the final legal maturity date</w:t>
      </w:r>
      <w:r w:rsidR="00AE09BF">
        <w:t>.</w:t>
      </w:r>
    </w:p>
    <w:p w:rsidR="00DA3BFA" w:rsidRDefault="00DA3BFA" w:rsidP="00A13817">
      <w:pPr>
        <w:jc w:val="both"/>
      </w:pPr>
    </w:p>
    <w:p w:rsidR="00DA3BFA" w:rsidRDefault="00DA3BFA" w:rsidP="00303076">
      <w:pPr>
        <w:numPr>
          <w:ilvl w:val="0"/>
          <w:numId w:val="5"/>
        </w:numPr>
        <w:jc w:val="both"/>
        <w:rPr>
          <w:b/>
        </w:rPr>
      </w:pPr>
      <w:r w:rsidRPr="00BB4CE5">
        <w:rPr>
          <w:b/>
        </w:rPr>
        <w:t>Duration</w:t>
      </w:r>
    </w:p>
    <w:p w:rsidR="00F75816" w:rsidRPr="00303076" w:rsidRDefault="00F75816" w:rsidP="00F75816">
      <w:pPr>
        <w:ind w:left="720"/>
        <w:jc w:val="both"/>
        <w:rPr>
          <w:b/>
        </w:rPr>
      </w:pPr>
    </w:p>
    <w:p w:rsidR="00DA3BFA" w:rsidRDefault="00DA3BFA" w:rsidP="00D21AAB">
      <w:pPr>
        <w:numPr>
          <w:ilvl w:val="1"/>
          <w:numId w:val="5"/>
        </w:numPr>
        <w:jc w:val="both"/>
      </w:pPr>
      <w:r>
        <w:t xml:space="preserve">The investment portfolio duration is controlled around a </w:t>
      </w:r>
      <w:r w:rsidR="00AE09BF">
        <w:t>one (</w:t>
      </w:r>
      <w:r>
        <w:t>1</w:t>
      </w:r>
      <w:r w:rsidR="00AE09BF">
        <w:t>)</w:t>
      </w:r>
      <w:r w:rsidR="00B77587">
        <w:t>-</w:t>
      </w:r>
      <w:r>
        <w:t>year target</w:t>
      </w:r>
      <w:r w:rsidR="00AE09BF">
        <w:t>.</w:t>
      </w:r>
    </w:p>
    <w:p w:rsidR="00DA3BFA" w:rsidRDefault="00DA3BFA" w:rsidP="00D21AAB">
      <w:pPr>
        <w:ind w:left="1080"/>
        <w:jc w:val="both"/>
      </w:pPr>
    </w:p>
    <w:p w:rsidR="00DA3BFA" w:rsidRDefault="00DA3BFA" w:rsidP="00303076">
      <w:pPr>
        <w:numPr>
          <w:ilvl w:val="0"/>
          <w:numId w:val="5"/>
        </w:numPr>
        <w:jc w:val="both"/>
        <w:rPr>
          <w:b/>
        </w:rPr>
      </w:pPr>
      <w:r w:rsidRPr="00BB4CE5">
        <w:rPr>
          <w:b/>
        </w:rPr>
        <w:t>Eligible Investments</w:t>
      </w:r>
    </w:p>
    <w:p w:rsidR="007C3C57" w:rsidRPr="00303076" w:rsidRDefault="007C3C57" w:rsidP="007C3C57">
      <w:pPr>
        <w:ind w:left="720"/>
        <w:jc w:val="both"/>
        <w:rPr>
          <w:b/>
        </w:rPr>
      </w:pPr>
    </w:p>
    <w:p w:rsidR="00DA3BFA" w:rsidRDefault="00026AE9" w:rsidP="00026AE9">
      <w:pPr>
        <w:numPr>
          <w:ilvl w:val="1"/>
          <w:numId w:val="5"/>
        </w:numPr>
        <w:jc w:val="both"/>
      </w:pPr>
      <w:r>
        <w:t>U.S. Treasury Bills;</w:t>
      </w:r>
    </w:p>
    <w:p w:rsidR="0034328C" w:rsidRDefault="00026AE9" w:rsidP="00026AE9">
      <w:pPr>
        <w:numPr>
          <w:ilvl w:val="1"/>
          <w:numId w:val="5"/>
        </w:numPr>
        <w:jc w:val="both"/>
      </w:pPr>
      <w:r>
        <w:t>U.S. Treasury Notes;</w:t>
      </w:r>
    </w:p>
    <w:p w:rsidR="00026AE9" w:rsidRDefault="0034328C" w:rsidP="00026AE9">
      <w:pPr>
        <w:numPr>
          <w:ilvl w:val="1"/>
          <w:numId w:val="5"/>
        </w:numPr>
        <w:jc w:val="both"/>
      </w:pPr>
      <w:r>
        <w:t>U.S. Treasury Bonds;</w:t>
      </w:r>
      <w:r w:rsidR="00026AE9">
        <w:t xml:space="preserve"> </w:t>
      </w:r>
    </w:p>
    <w:p w:rsidR="00026AE9" w:rsidRDefault="00026AE9" w:rsidP="00026AE9">
      <w:pPr>
        <w:numPr>
          <w:ilvl w:val="1"/>
          <w:numId w:val="5"/>
        </w:numPr>
        <w:jc w:val="both"/>
      </w:pPr>
      <w:r>
        <w:t xml:space="preserve">U.S. Government Agency Instruments </w:t>
      </w:r>
      <w:r w:rsidR="0034328C">
        <w:t>and</w:t>
      </w:r>
      <w:r w:rsidR="0034328C" w:rsidRPr="0034328C">
        <w:t xml:space="preserve"> </w:t>
      </w:r>
      <w:r w:rsidR="0034328C">
        <w:t xml:space="preserve">instruments issued by U.S. Government Sponsored Enterprises </w:t>
      </w:r>
      <w:r w:rsidRPr="00F75816">
        <w:t>(</w:t>
      </w:r>
      <w:r w:rsidRPr="00F75816">
        <w:rPr>
          <w:b/>
        </w:rPr>
        <w:t>“GSEs”</w:t>
      </w:r>
      <w:r>
        <w:t xml:space="preserve">); </w:t>
      </w:r>
    </w:p>
    <w:p w:rsidR="00026AE9" w:rsidRDefault="00026AE9" w:rsidP="00026AE9">
      <w:pPr>
        <w:numPr>
          <w:ilvl w:val="1"/>
          <w:numId w:val="5"/>
        </w:numPr>
        <w:jc w:val="both"/>
      </w:pPr>
      <w:r>
        <w:t xml:space="preserve">Fully Insured Certificates of Deposit; </w:t>
      </w:r>
    </w:p>
    <w:p w:rsidR="00026AE9" w:rsidRDefault="00026AE9" w:rsidP="00026AE9">
      <w:pPr>
        <w:numPr>
          <w:ilvl w:val="1"/>
          <w:numId w:val="5"/>
        </w:numPr>
        <w:jc w:val="both"/>
      </w:pPr>
      <w:r>
        <w:t xml:space="preserve">Repurchase Agreements, which collateral is comprised of and limited to one or more of the above-listed approved classes of investment instruments; </w:t>
      </w:r>
    </w:p>
    <w:p w:rsidR="00026AE9" w:rsidRDefault="00026AE9" w:rsidP="00026AE9">
      <w:pPr>
        <w:numPr>
          <w:ilvl w:val="1"/>
          <w:numId w:val="5"/>
        </w:numPr>
        <w:jc w:val="both"/>
      </w:pPr>
      <w:r>
        <w:t xml:space="preserve">Money Market Mutual Funds with portfolios comprised of and limited to one or more of the above-listed approved classes of investment instruments; </w:t>
      </w:r>
    </w:p>
    <w:p w:rsidR="00026AE9" w:rsidRDefault="00026AE9" w:rsidP="00026AE9">
      <w:pPr>
        <w:numPr>
          <w:ilvl w:val="1"/>
          <w:numId w:val="5"/>
        </w:numPr>
        <w:jc w:val="both"/>
      </w:pPr>
      <w:r>
        <w:lastRenderedPageBreak/>
        <w:t>Bankers’ Acceptances</w:t>
      </w:r>
      <w:r w:rsidR="00E24AC9">
        <w:t xml:space="preserve"> drawn on an</w:t>
      </w:r>
      <w:bookmarkStart w:id="0" w:name="_GoBack"/>
      <w:bookmarkEnd w:id="0"/>
      <w:r w:rsidR="00E24AC9">
        <w:t>y bank that is a Qualified Institution</w:t>
      </w:r>
      <w:r>
        <w:t xml:space="preserve">; </w:t>
      </w:r>
    </w:p>
    <w:p w:rsidR="00026AE9" w:rsidRDefault="00026AE9" w:rsidP="00026AE9">
      <w:pPr>
        <w:numPr>
          <w:ilvl w:val="1"/>
          <w:numId w:val="5"/>
        </w:numPr>
        <w:jc w:val="both"/>
      </w:pPr>
      <w:r>
        <w:t xml:space="preserve">Term deposits issued by any </w:t>
      </w:r>
      <w:r w:rsidR="00E24AC9">
        <w:t xml:space="preserve">bank that is a </w:t>
      </w:r>
      <w:r w:rsidR="006511E7">
        <w:t>Qualified Institution;</w:t>
      </w:r>
      <w:r>
        <w:t xml:space="preserve"> and</w:t>
      </w:r>
    </w:p>
    <w:p w:rsidR="00026AE9" w:rsidRDefault="00026AE9" w:rsidP="00F75816">
      <w:pPr>
        <w:numPr>
          <w:ilvl w:val="1"/>
          <w:numId w:val="5"/>
        </w:numPr>
        <w:jc w:val="both"/>
      </w:pPr>
      <w:proofErr w:type="gramStart"/>
      <w:r>
        <w:t>Interest-bearing</w:t>
      </w:r>
      <w:proofErr w:type="gramEnd"/>
      <w:r>
        <w:t xml:space="preserve"> accounts in any </w:t>
      </w:r>
      <w:r w:rsidR="006511E7">
        <w:t>Qualified Institution</w:t>
      </w:r>
      <w:r>
        <w:t>.</w:t>
      </w:r>
    </w:p>
    <w:p w:rsidR="00F75816" w:rsidRDefault="00F75816" w:rsidP="00F75816">
      <w:pPr>
        <w:ind w:left="1440"/>
        <w:jc w:val="both"/>
      </w:pPr>
    </w:p>
    <w:p w:rsidR="00585D13" w:rsidRDefault="00DA3BFA" w:rsidP="002D4777">
      <w:pPr>
        <w:numPr>
          <w:ilvl w:val="0"/>
          <w:numId w:val="5"/>
        </w:numPr>
        <w:jc w:val="both"/>
        <w:rPr>
          <w:b/>
        </w:rPr>
      </w:pPr>
      <w:r w:rsidRPr="00BB4CE5">
        <w:rPr>
          <w:b/>
        </w:rPr>
        <w:t>Specific Exclusions</w:t>
      </w:r>
    </w:p>
    <w:p w:rsidR="002D4777" w:rsidRPr="002D4777" w:rsidRDefault="002D4777" w:rsidP="002D4777">
      <w:pPr>
        <w:ind w:left="720"/>
        <w:jc w:val="both"/>
        <w:rPr>
          <w:b/>
        </w:rPr>
      </w:pPr>
    </w:p>
    <w:p w:rsidR="00DA3BFA" w:rsidRDefault="00A13817" w:rsidP="00A13817">
      <w:pPr>
        <w:numPr>
          <w:ilvl w:val="1"/>
          <w:numId w:val="5"/>
        </w:numPr>
        <w:jc w:val="both"/>
      </w:pPr>
      <w:r>
        <w:t>Investments in all complex derivative securities</w:t>
      </w:r>
      <w:r w:rsidR="00DA3BFA">
        <w:t xml:space="preserve"> are specifically excluded</w:t>
      </w:r>
      <w:r>
        <w:t>, including</w:t>
      </w:r>
      <w:r w:rsidR="00DA3BFA">
        <w:t>:</w:t>
      </w:r>
      <w:r>
        <w:t xml:space="preserve"> </w:t>
      </w:r>
      <w:r w:rsidR="00DA3BFA">
        <w:t xml:space="preserve">inverse floaters, range notes, swaps, options and structured notes with embedded swaps or options.  </w:t>
      </w:r>
      <w:r w:rsidR="00DA3BFA" w:rsidRPr="00A13817">
        <w:rPr>
          <w:i/>
          <w:u w:val="single"/>
        </w:rPr>
        <w:t>However</w:t>
      </w:r>
      <w:r w:rsidR="00DA3BFA">
        <w:t>, for the purpose of this guideline, ordinary structured derivatives such as floating rate notes, callable notes and puttable notes will not be defined as complex derivatives.</w:t>
      </w:r>
    </w:p>
    <w:p w:rsidR="00DA3BFA" w:rsidRDefault="00DA3BFA" w:rsidP="00D21AAB">
      <w:pPr>
        <w:ind w:left="1980"/>
        <w:jc w:val="both"/>
      </w:pPr>
    </w:p>
    <w:p w:rsidR="00DA3BFA" w:rsidRDefault="00DA3BFA" w:rsidP="00303076">
      <w:pPr>
        <w:numPr>
          <w:ilvl w:val="0"/>
          <w:numId w:val="5"/>
        </w:numPr>
        <w:jc w:val="both"/>
        <w:rPr>
          <w:b/>
        </w:rPr>
      </w:pPr>
      <w:r w:rsidRPr="00176FF2">
        <w:rPr>
          <w:b/>
        </w:rPr>
        <w:t>Credit Quality</w:t>
      </w:r>
    </w:p>
    <w:p w:rsidR="00585D13" w:rsidRPr="00585D13" w:rsidRDefault="00585D13" w:rsidP="00585D13">
      <w:pPr>
        <w:ind w:left="720"/>
        <w:jc w:val="both"/>
        <w:rPr>
          <w:b/>
        </w:rPr>
      </w:pPr>
    </w:p>
    <w:p w:rsidR="00DA3BFA" w:rsidRDefault="00DA3BFA" w:rsidP="00D21AAB">
      <w:pPr>
        <w:numPr>
          <w:ilvl w:val="1"/>
          <w:numId w:val="5"/>
        </w:numPr>
        <w:jc w:val="both"/>
      </w:pPr>
      <w:r>
        <w:t>Emphasis will be placed on securities of high credit quality.</w:t>
      </w:r>
    </w:p>
    <w:p w:rsidR="00DA3BFA" w:rsidRDefault="00DA3BFA" w:rsidP="00D21AAB">
      <w:pPr>
        <w:numPr>
          <w:ilvl w:val="1"/>
          <w:numId w:val="5"/>
        </w:numPr>
        <w:jc w:val="both"/>
      </w:pPr>
      <w:bookmarkStart w:id="1" w:name="OLE_LINK1"/>
      <w:r>
        <w:t xml:space="preserve">All instruments will be explicitly or implicitly backed by the U.S. </w:t>
      </w:r>
      <w:r w:rsidR="00853AEC">
        <w:t xml:space="preserve">or Canadian </w:t>
      </w:r>
      <w:r>
        <w:t>Govern</w:t>
      </w:r>
      <w:r w:rsidR="00853AEC">
        <w:t xml:space="preserve">ment, with the exception of </w:t>
      </w:r>
      <w:r>
        <w:t>Overnight, Institutional Money Market Funds</w:t>
      </w:r>
      <w:bookmarkEnd w:id="1"/>
      <w:r>
        <w:t>.</w:t>
      </w:r>
    </w:p>
    <w:p w:rsidR="00DA3BFA" w:rsidRDefault="00DA3BFA" w:rsidP="00D21AAB">
      <w:pPr>
        <w:ind w:left="1080"/>
        <w:jc w:val="both"/>
      </w:pPr>
    </w:p>
    <w:p w:rsidR="00DA3BFA" w:rsidRDefault="00DA3BFA" w:rsidP="00585D13">
      <w:pPr>
        <w:numPr>
          <w:ilvl w:val="0"/>
          <w:numId w:val="5"/>
        </w:numPr>
        <w:jc w:val="both"/>
        <w:rPr>
          <w:b/>
        </w:rPr>
      </w:pPr>
      <w:r w:rsidRPr="00176FF2">
        <w:rPr>
          <w:b/>
        </w:rPr>
        <w:t>Diversification Parameters</w:t>
      </w:r>
    </w:p>
    <w:p w:rsidR="00585D13" w:rsidRPr="00585D13" w:rsidRDefault="00585D13" w:rsidP="00585D13">
      <w:pPr>
        <w:ind w:left="720"/>
        <w:jc w:val="both"/>
        <w:rPr>
          <w:b/>
        </w:rPr>
      </w:pPr>
    </w:p>
    <w:p w:rsidR="00DA3BFA" w:rsidRDefault="00DA3BFA" w:rsidP="00D21AAB">
      <w:pPr>
        <w:numPr>
          <w:ilvl w:val="1"/>
          <w:numId w:val="5"/>
        </w:numPr>
        <w:jc w:val="both"/>
      </w:pPr>
      <w:r>
        <w:t>The following diversif</w:t>
      </w:r>
      <w:r w:rsidR="00541798">
        <w:t>ication requirement</w:t>
      </w:r>
      <w:r>
        <w:t xml:space="preserve"> for the portfolio will be tools for minimizing r</w:t>
      </w:r>
      <w:r w:rsidR="00541798">
        <w:t>isk while maintaining liquidity:</w:t>
      </w:r>
    </w:p>
    <w:p w:rsidR="00DA3BFA" w:rsidRDefault="00DA3BFA" w:rsidP="00D21AAB">
      <w:pPr>
        <w:ind w:left="1080"/>
        <w:jc w:val="both"/>
      </w:pPr>
    </w:p>
    <w:p w:rsidR="00DA3BFA" w:rsidRDefault="00DA3BFA" w:rsidP="00D21AAB">
      <w:pPr>
        <w:numPr>
          <w:ilvl w:val="2"/>
          <w:numId w:val="5"/>
        </w:numPr>
        <w:jc w:val="both"/>
      </w:pPr>
      <w:r>
        <w:t>No more than thre</w:t>
      </w:r>
      <w:r w:rsidR="00F06842">
        <w:t xml:space="preserve">e (3) percent of the portfolio </w:t>
      </w:r>
      <w:r>
        <w:t xml:space="preserve">or a maximum of </w:t>
      </w:r>
      <w:r w:rsidR="00A7164C">
        <w:t>two (2)</w:t>
      </w:r>
      <w:r w:rsidR="00141015">
        <w:t xml:space="preserve"> </w:t>
      </w:r>
      <w:r w:rsidR="00AE09BF">
        <w:t>million dollars</w:t>
      </w:r>
      <w:r w:rsidR="00141015">
        <w:t xml:space="preserve">, </w:t>
      </w:r>
      <w:r w:rsidR="00F06842">
        <w:t xml:space="preserve">whichever is less, </w:t>
      </w:r>
      <w:r>
        <w:t xml:space="preserve">is to </w:t>
      </w:r>
      <w:proofErr w:type="gramStart"/>
      <w:r>
        <w:t>be invested</w:t>
      </w:r>
      <w:proofErr w:type="gramEnd"/>
      <w:r>
        <w:t xml:space="preserve"> in any one </w:t>
      </w:r>
      <w:r w:rsidR="00541798">
        <w:t>bankers’ acceptance</w:t>
      </w:r>
      <w:r>
        <w:t xml:space="preserve">, excluding U.S. </w:t>
      </w:r>
      <w:r w:rsidR="00141015">
        <w:t xml:space="preserve">or Canadian </w:t>
      </w:r>
      <w:r>
        <w:t>Treasury obligations and Federal Agency obligations.</w:t>
      </w:r>
    </w:p>
    <w:p w:rsidR="00631665" w:rsidRDefault="00631665" w:rsidP="00D21AAB">
      <w:pPr>
        <w:jc w:val="both"/>
        <w:rPr>
          <w:b/>
          <w:u w:val="single"/>
        </w:rPr>
      </w:pPr>
    </w:p>
    <w:p w:rsidR="00631665" w:rsidRDefault="00DA3BFA" w:rsidP="00D21AAB">
      <w:pPr>
        <w:jc w:val="both"/>
        <w:rPr>
          <w:b/>
          <w:u w:val="single"/>
        </w:rPr>
      </w:pPr>
      <w:r w:rsidRPr="00574045">
        <w:rPr>
          <w:b/>
          <w:u w:val="single"/>
        </w:rPr>
        <w:t>Benchmarks</w:t>
      </w:r>
    </w:p>
    <w:p w:rsidR="00B77587" w:rsidRPr="00574045" w:rsidRDefault="00B77587" w:rsidP="00D21AAB">
      <w:pPr>
        <w:jc w:val="both"/>
        <w:rPr>
          <w:b/>
          <w:u w:val="single"/>
        </w:rPr>
      </w:pPr>
    </w:p>
    <w:p w:rsidR="00303076" w:rsidRDefault="00BD3E86" w:rsidP="00585D13">
      <w:pPr>
        <w:numPr>
          <w:ilvl w:val="0"/>
          <w:numId w:val="6"/>
        </w:numPr>
        <w:jc w:val="both"/>
      </w:pPr>
      <w:r>
        <w:t>Th</w:t>
      </w:r>
      <w:r w:rsidR="00DA3BFA">
        <w:t>e portf</w:t>
      </w:r>
      <w:r w:rsidR="00E92A31">
        <w:t>olio will be managed on a total-</w:t>
      </w:r>
      <w:r w:rsidR="00DA3BFA">
        <w:t>return basis.  Capital gains and lo</w:t>
      </w:r>
      <w:r w:rsidR="00E92A31">
        <w:t xml:space="preserve">sses will be incurred from time to </w:t>
      </w:r>
      <w:r w:rsidR="00DA3BFA">
        <w:t>time.</w:t>
      </w:r>
    </w:p>
    <w:p w:rsidR="00F75816" w:rsidRDefault="00F75816" w:rsidP="00F75816">
      <w:pPr>
        <w:ind w:left="1080"/>
        <w:jc w:val="both"/>
      </w:pPr>
    </w:p>
    <w:p w:rsidR="00DA3BFA" w:rsidRDefault="00DA3BFA" w:rsidP="00D21AAB">
      <w:pPr>
        <w:numPr>
          <w:ilvl w:val="0"/>
          <w:numId w:val="6"/>
        </w:numPr>
        <w:jc w:val="both"/>
      </w:pPr>
      <w:r>
        <w:t>The portfolio should be measured against the relevant index as per the Investment Strategy selected.</w:t>
      </w:r>
    </w:p>
    <w:p w:rsidR="00585D13" w:rsidRDefault="00585D13" w:rsidP="00D21AAB">
      <w:pPr>
        <w:jc w:val="both"/>
      </w:pPr>
    </w:p>
    <w:p w:rsidR="00585D13" w:rsidRDefault="00DA3BFA" w:rsidP="00D21AAB">
      <w:pPr>
        <w:jc w:val="both"/>
        <w:rPr>
          <w:b/>
          <w:u w:val="single"/>
        </w:rPr>
      </w:pPr>
      <w:r w:rsidRPr="00DF0B42">
        <w:rPr>
          <w:b/>
          <w:u w:val="single"/>
        </w:rPr>
        <w:t>Reporting &amp; Review</w:t>
      </w:r>
    </w:p>
    <w:p w:rsidR="002D4777" w:rsidRDefault="002D4777" w:rsidP="00D21AAB">
      <w:pPr>
        <w:jc w:val="both"/>
        <w:rPr>
          <w:b/>
          <w:u w:val="single"/>
        </w:rPr>
      </w:pPr>
    </w:p>
    <w:p w:rsidR="00DA3BFA" w:rsidRDefault="00DA3BFA" w:rsidP="00D21AAB">
      <w:pPr>
        <w:jc w:val="both"/>
        <w:rPr>
          <w:b/>
          <w:u w:val="single"/>
        </w:rPr>
      </w:pPr>
      <w:r>
        <w:t xml:space="preserve">The following are guidelines for the formal and informal review of the portfolio by senior management of the </w:t>
      </w:r>
      <w:r w:rsidR="00AE09BF">
        <w:t>Company</w:t>
      </w:r>
      <w:r>
        <w:t>.</w:t>
      </w:r>
    </w:p>
    <w:p w:rsidR="00585D13" w:rsidRPr="00585D13" w:rsidRDefault="00585D13" w:rsidP="00D21AAB">
      <w:pPr>
        <w:jc w:val="both"/>
        <w:rPr>
          <w:b/>
          <w:u w:val="single"/>
        </w:rPr>
      </w:pPr>
    </w:p>
    <w:p w:rsidR="00DA3BFA" w:rsidRDefault="00DA3BFA" w:rsidP="00D21AAB">
      <w:pPr>
        <w:numPr>
          <w:ilvl w:val="0"/>
          <w:numId w:val="7"/>
        </w:numPr>
        <w:jc w:val="both"/>
      </w:pPr>
      <w:r>
        <w:t xml:space="preserve">The total portfolio </w:t>
      </w:r>
      <w:proofErr w:type="gramStart"/>
      <w:r>
        <w:t>will be r</w:t>
      </w:r>
      <w:r w:rsidR="00A7164C">
        <w:t>eviewed</w:t>
      </w:r>
      <w:proofErr w:type="gramEnd"/>
      <w:r w:rsidR="00A7164C">
        <w:t xml:space="preserve"> </w:t>
      </w:r>
      <w:r>
        <w:t xml:space="preserve">monthly </w:t>
      </w:r>
      <w:r w:rsidR="006511E7">
        <w:t>by</w:t>
      </w:r>
      <w:r>
        <w:t xml:space="preserve"> the </w:t>
      </w:r>
      <w:r w:rsidR="00466A45">
        <w:t>CAO</w:t>
      </w:r>
      <w:r w:rsidR="00AE09BF">
        <w:t xml:space="preserve"> and Controller</w:t>
      </w:r>
      <w:r>
        <w:t xml:space="preserve"> via copies of the investment manager’s reports or internally generated reports containing the same information.</w:t>
      </w:r>
    </w:p>
    <w:p w:rsidR="00AE09BF" w:rsidRDefault="00AE09BF" w:rsidP="00D21AAB">
      <w:pPr>
        <w:ind w:left="1080"/>
        <w:jc w:val="both"/>
      </w:pPr>
    </w:p>
    <w:p w:rsidR="00DA3BFA" w:rsidRDefault="00A7164C" w:rsidP="00D21AAB">
      <w:pPr>
        <w:numPr>
          <w:ilvl w:val="0"/>
          <w:numId w:val="7"/>
        </w:numPr>
        <w:jc w:val="both"/>
      </w:pPr>
      <w:r>
        <w:lastRenderedPageBreak/>
        <w:t xml:space="preserve">A </w:t>
      </w:r>
      <w:r w:rsidR="00F06842">
        <w:t xml:space="preserve">findings </w:t>
      </w:r>
      <w:r>
        <w:t xml:space="preserve">summary </w:t>
      </w:r>
      <w:r w:rsidR="00F06842">
        <w:t xml:space="preserve">of </w:t>
      </w:r>
      <w:r>
        <w:t>such reviews shall be provided to the Audit Committee</w:t>
      </w:r>
      <w:r w:rsidR="00DA3BFA">
        <w:t xml:space="preserve"> </w:t>
      </w:r>
      <w:r w:rsidR="00541798">
        <w:t xml:space="preserve">and CFO </w:t>
      </w:r>
      <w:r w:rsidR="00DA3BFA">
        <w:t xml:space="preserve">by </w:t>
      </w:r>
      <w:r>
        <w:t>the CAO and Controller on a</w:t>
      </w:r>
      <w:r w:rsidR="000C03FC">
        <w:t xml:space="preserve">n </w:t>
      </w:r>
      <w:r>
        <w:t>annual basis</w:t>
      </w:r>
      <w:r w:rsidR="00DA3BFA">
        <w:t>, and will include the following detail</w:t>
      </w:r>
      <w:r>
        <w:t>s, as applicable</w:t>
      </w:r>
      <w:r w:rsidR="00DA3BFA">
        <w:t>:</w:t>
      </w:r>
    </w:p>
    <w:p w:rsidR="00B77587" w:rsidRDefault="00B77587" w:rsidP="00B77587">
      <w:pPr>
        <w:jc w:val="both"/>
      </w:pPr>
    </w:p>
    <w:p w:rsidR="00DA3BFA" w:rsidRDefault="00DA3BFA" w:rsidP="00D21AAB">
      <w:pPr>
        <w:numPr>
          <w:ilvl w:val="1"/>
          <w:numId w:val="7"/>
        </w:numPr>
        <w:jc w:val="both"/>
      </w:pPr>
      <w:r>
        <w:t>Investment description</w:t>
      </w:r>
      <w:r w:rsidR="00A7164C">
        <w:t>;</w:t>
      </w:r>
    </w:p>
    <w:p w:rsidR="00DA3BFA" w:rsidRDefault="00DA3BFA" w:rsidP="00D21AAB">
      <w:pPr>
        <w:numPr>
          <w:ilvl w:val="1"/>
          <w:numId w:val="7"/>
        </w:numPr>
        <w:jc w:val="both"/>
      </w:pPr>
      <w:r>
        <w:t>Type of security</w:t>
      </w:r>
      <w:r w:rsidR="00A7164C">
        <w:t>;</w:t>
      </w:r>
    </w:p>
    <w:p w:rsidR="00DA3BFA" w:rsidRDefault="00DA3BFA" w:rsidP="00D21AAB">
      <w:pPr>
        <w:numPr>
          <w:ilvl w:val="1"/>
          <w:numId w:val="7"/>
        </w:numPr>
        <w:jc w:val="both"/>
      </w:pPr>
      <w:r>
        <w:t>Rating of the security, if applicable</w:t>
      </w:r>
      <w:r w:rsidR="00A7164C">
        <w:t>;</w:t>
      </w:r>
    </w:p>
    <w:p w:rsidR="00DA3BFA" w:rsidRDefault="00DA3BFA" w:rsidP="00D21AAB">
      <w:pPr>
        <w:numPr>
          <w:ilvl w:val="1"/>
          <w:numId w:val="7"/>
        </w:numPr>
        <w:jc w:val="both"/>
      </w:pPr>
      <w:r>
        <w:t>Date of purchase</w:t>
      </w:r>
      <w:r w:rsidR="00A7164C">
        <w:t>;</w:t>
      </w:r>
    </w:p>
    <w:p w:rsidR="00DA3BFA" w:rsidRDefault="00DA3BFA" w:rsidP="00D21AAB">
      <w:pPr>
        <w:numPr>
          <w:ilvl w:val="1"/>
          <w:numId w:val="7"/>
        </w:numPr>
        <w:jc w:val="both"/>
      </w:pPr>
      <w:r>
        <w:t>Maturity date</w:t>
      </w:r>
      <w:r w:rsidR="00A7164C">
        <w:t>;</w:t>
      </w:r>
    </w:p>
    <w:p w:rsidR="00DA3BFA" w:rsidRDefault="00DA3BFA" w:rsidP="00D21AAB">
      <w:pPr>
        <w:numPr>
          <w:ilvl w:val="1"/>
          <w:numId w:val="7"/>
        </w:numPr>
        <w:jc w:val="both"/>
      </w:pPr>
      <w:r>
        <w:t>Weighted average maturity</w:t>
      </w:r>
      <w:r w:rsidR="00A7164C">
        <w:t>;</w:t>
      </w:r>
    </w:p>
    <w:p w:rsidR="00DA3BFA" w:rsidRDefault="00DA3BFA" w:rsidP="00D21AAB">
      <w:pPr>
        <w:numPr>
          <w:ilvl w:val="1"/>
          <w:numId w:val="7"/>
        </w:numPr>
        <w:jc w:val="both"/>
      </w:pPr>
      <w:r>
        <w:t>Amount invested (principal amount and premium or discount)</w:t>
      </w:r>
      <w:r w:rsidR="00A7164C">
        <w:t>;</w:t>
      </w:r>
    </w:p>
    <w:p w:rsidR="00DA3BFA" w:rsidRDefault="00DA3BFA" w:rsidP="00D21AAB">
      <w:pPr>
        <w:numPr>
          <w:ilvl w:val="1"/>
          <w:numId w:val="7"/>
        </w:numPr>
        <w:jc w:val="both"/>
      </w:pPr>
      <w:r>
        <w:t>Amount to be received at maturity</w:t>
      </w:r>
      <w:r w:rsidR="00A7164C">
        <w:t>;</w:t>
      </w:r>
    </w:p>
    <w:p w:rsidR="00DA3BFA" w:rsidRDefault="00DA3BFA" w:rsidP="00D21AAB">
      <w:pPr>
        <w:numPr>
          <w:ilvl w:val="1"/>
          <w:numId w:val="7"/>
        </w:numPr>
        <w:jc w:val="both"/>
      </w:pPr>
      <w:r>
        <w:t>Interest rate</w:t>
      </w:r>
      <w:r w:rsidR="00A7164C">
        <w:t>;</w:t>
      </w:r>
    </w:p>
    <w:p w:rsidR="00DA3BFA" w:rsidRDefault="00DA3BFA" w:rsidP="00D21AAB">
      <w:pPr>
        <w:numPr>
          <w:ilvl w:val="1"/>
          <w:numId w:val="7"/>
        </w:numPr>
        <w:jc w:val="both"/>
      </w:pPr>
      <w:r>
        <w:t>Yield to maturity</w:t>
      </w:r>
      <w:r w:rsidR="00A7164C">
        <w:t>;</w:t>
      </w:r>
    </w:p>
    <w:p w:rsidR="00DA3BFA" w:rsidRDefault="00DA3BFA" w:rsidP="00D21AAB">
      <w:pPr>
        <w:numPr>
          <w:ilvl w:val="1"/>
          <w:numId w:val="7"/>
        </w:numPr>
        <w:jc w:val="both"/>
      </w:pPr>
      <w:r>
        <w:t>Yield to maturity of entire portfolio</w:t>
      </w:r>
      <w:r w:rsidR="00A7164C">
        <w:t>;</w:t>
      </w:r>
    </w:p>
    <w:p w:rsidR="00DA3BFA" w:rsidRDefault="00DA3BFA" w:rsidP="00D21AAB">
      <w:pPr>
        <w:numPr>
          <w:ilvl w:val="1"/>
          <w:numId w:val="7"/>
        </w:numPr>
        <w:jc w:val="both"/>
      </w:pPr>
      <w:r>
        <w:t>Institution security purchased from/custody location</w:t>
      </w:r>
      <w:r w:rsidR="00A7164C">
        <w:t>; and</w:t>
      </w:r>
    </w:p>
    <w:p w:rsidR="00DA3BFA" w:rsidRDefault="00DA3BFA" w:rsidP="00D21AAB">
      <w:pPr>
        <w:numPr>
          <w:ilvl w:val="1"/>
          <w:numId w:val="7"/>
        </w:numPr>
        <w:jc w:val="both"/>
      </w:pPr>
      <w:r>
        <w:t>For all securities, a comparison of market price to acquisition price (or amortized cost) will be reported at month end</w:t>
      </w:r>
      <w:r w:rsidR="00A7164C">
        <w:t>.</w:t>
      </w:r>
    </w:p>
    <w:p w:rsidR="00DA3BFA" w:rsidRDefault="00DA3BFA" w:rsidP="00D21AAB">
      <w:pPr>
        <w:ind w:left="1440"/>
        <w:jc w:val="both"/>
      </w:pPr>
    </w:p>
    <w:p w:rsidR="00DA3BFA" w:rsidRDefault="00DA3BFA" w:rsidP="00D21AAB">
      <w:pPr>
        <w:numPr>
          <w:ilvl w:val="0"/>
          <w:numId w:val="7"/>
        </w:numPr>
        <w:jc w:val="both"/>
      </w:pPr>
      <w:r>
        <w:t xml:space="preserve">The list of eligible domestic and international banks </w:t>
      </w:r>
      <w:proofErr w:type="gramStart"/>
      <w:r>
        <w:t xml:space="preserve">will be </w:t>
      </w:r>
      <w:r w:rsidR="00E92A31">
        <w:t xml:space="preserve">reviewed and, to the extent necessary, </w:t>
      </w:r>
      <w:r w:rsidR="00A7164C">
        <w:t>updated annually</w:t>
      </w:r>
      <w:proofErr w:type="gramEnd"/>
      <w:r>
        <w:t>.</w:t>
      </w:r>
    </w:p>
    <w:p w:rsidR="000C03FC" w:rsidRDefault="000C03FC" w:rsidP="00BC0A3D">
      <w:pPr>
        <w:ind w:left="1080"/>
        <w:jc w:val="both"/>
      </w:pPr>
    </w:p>
    <w:p w:rsidR="000C03FC" w:rsidRDefault="000C03FC" w:rsidP="00D21AAB">
      <w:pPr>
        <w:numPr>
          <w:ilvl w:val="0"/>
          <w:numId w:val="7"/>
        </w:numPr>
        <w:jc w:val="both"/>
      </w:pPr>
      <w:r>
        <w:t xml:space="preserve">This CIP, with any changes recommended by the Audit Committee, </w:t>
      </w:r>
      <w:proofErr w:type="gramStart"/>
      <w:r>
        <w:t>will be reviewed and approved annually by the Board</w:t>
      </w:r>
      <w:proofErr w:type="gramEnd"/>
      <w:r>
        <w:t>.</w:t>
      </w:r>
    </w:p>
    <w:p w:rsidR="00AE09BF" w:rsidRDefault="00AE09BF" w:rsidP="00D21AAB">
      <w:pPr>
        <w:ind w:left="1080"/>
        <w:jc w:val="both"/>
      </w:pPr>
    </w:p>
    <w:p w:rsidR="00F75816" w:rsidRDefault="00F75816" w:rsidP="00D21AAB">
      <w:pPr>
        <w:jc w:val="center"/>
        <w:rPr>
          <w:b/>
        </w:rPr>
      </w:pPr>
    </w:p>
    <w:p w:rsidR="00F75816" w:rsidRDefault="00F75816" w:rsidP="00D21AAB">
      <w:pPr>
        <w:jc w:val="center"/>
        <w:rPr>
          <w:b/>
        </w:rPr>
      </w:pPr>
    </w:p>
    <w:p w:rsidR="00F75816" w:rsidRDefault="00F75816" w:rsidP="00D21AAB">
      <w:pPr>
        <w:jc w:val="center"/>
        <w:rPr>
          <w:b/>
        </w:rPr>
      </w:pPr>
    </w:p>
    <w:p w:rsidR="00F75816" w:rsidRDefault="00F75816" w:rsidP="00D21AAB">
      <w:pPr>
        <w:jc w:val="center"/>
        <w:rPr>
          <w:b/>
        </w:rPr>
      </w:pPr>
    </w:p>
    <w:p w:rsidR="00F75816" w:rsidRDefault="00F75816" w:rsidP="00F75816">
      <w:pPr>
        <w:rPr>
          <w:b/>
        </w:rPr>
      </w:pPr>
    </w:p>
    <w:p w:rsidR="00F75816" w:rsidRPr="00F75816" w:rsidRDefault="00F75816" w:rsidP="00F75816">
      <w:pPr>
        <w:jc w:val="center"/>
      </w:pPr>
    </w:p>
    <w:p w:rsidR="00F75816" w:rsidRPr="00F75816" w:rsidRDefault="00F75816" w:rsidP="00F75816">
      <w:pPr>
        <w:jc w:val="center"/>
      </w:pPr>
      <w:r w:rsidRPr="00F75816">
        <w:t>[REMAINDER OF PAGE INTENTIONALLY LEFT BLANK]</w:t>
      </w:r>
    </w:p>
    <w:p w:rsidR="00F75816" w:rsidRPr="00F75816" w:rsidRDefault="00F75816" w:rsidP="00F75816">
      <w:pPr>
        <w:jc w:val="center"/>
        <w:rPr>
          <w:u w:val="single"/>
        </w:rPr>
      </w:pPr>
    </w:p>
    <w:p w:rsidR="00F75816" w:rsidRPr="00F75816" w:rsidRDefault="00F75816" w:rsidP="00F75816">
      <w:pPr>
        <w:jc w:val="center"/>
        <w:rPr>
          <w:u w:val="single"/>
        </w:rPr>
      </w:pPr>
    </w:p>
    <w:p w:rsidR="00F75816" w:rsidRDefault="00F75816" w:rsidP="00F75816">
      <w:pPr>
        <w:jc w:val="center"/>
        <w:rPr>
          <w:b/>
          <w:u w:val="single"/>
        </w:rPr>
      </w:pPr>
    </w:p>
    <w:p w:rsidR="00542B54" w:rsidRPr="00541798" w:rsidRDefault="00F75816" w:rsidP="00F75816">
      <w:pPr>
        <w:jc w:val="center"/>
        <w:rPr>
          <w:b/>
          <w:u w:val="single"/>
        </w:rPr>
      </w:pPr>
      <w:r>
        <w:rPr>
          <w:b/>
          <w:u w:val="single"/>
        </w:rPr>
        <w:br w:type="page"/>
      </w:r>
      <w:r w:rsidR="00DA3BFA" w:rsidRPr="00541798">
        <w:rPr>
          <w:b/>
          <w:u w:val="single"/>
        </w:rPr>
        <w:lastRenderedPageBreak/>
        <w:t>REVIEWED &amp; APPROVED</w:t>
      </w:r>
    </w:p>
    <w:p w:rsidR="00631665" w:rsidRDefault="00631665" w:rsidP="00D21AAB">
      <w:pPr>
        <w:jc w:val="both"/>
      </w:pPr>
    </w:p>
    <w:p w:rsidR="00F75816" w:rsidRDefault="00F75816" w:rsidP="00D21AAB">
      <w:pPr>
        <w:jc w:val="both"/>
      </w:pPr>
    </w:p>
    <w:p w:rsidR="00DA3BFA" w:rsidRPr="009E6C08" w:rsidRDefault="00DA3BFA" w:rsidP="00D21AAB">
      <w:pPr>
        <w:jc w:val="both"/>
      </w:pPr>
      <w:proofErr w:type="gramStart"/>
      <w:r>
        <w:t xml:space="preserve">This policy </w:t>
      </w:r>
      <w:r w:rsidR="00BA74CE">
        <w:t xml:space="preserve">was </w:t>
      </w:r>
      <w:r>
        <w:t xml:space="preserve">approved </w:t>
      </w:r>
      <w:r w:rsidR="00BA74CE">
        <w:t>by the Board of Directors of Energy Fuels Inc.</w:t>
      </w:r>
      <w:proofErr w:type="gramEnd"/>
      <w:r w:rsidR="00BA74CE">
        <w:t xml:space="preserve"> on </w:t>
      </w:r>
      <w:r w:rsidR="00AE09BF">
        <w:t xml:space="preserve">January </w:t>
      </w:r>
      <w:r w:rsidR="00BA74CE">
        <w:t xml:space="preserve">22, </w:t>
      </w:r>
      <w:r w:rsidR="00AE09BF">
        <w:t xml:space="preserve">2019 </w:t>
      </w:r>
    </w:p>
    <w:p w:rsidR="00542B54" w:rsidRDefault="00542B54" w:rsidP="00D21AAB">
      <w:pPr>
        <w:jc w:val="both"/>
      </w:pPr>
    </w:p>
    <w:p w:rsidR="00DA3BFA" w:rsidRDefault="00DA3BFA" w:rsidP="00D21AAB">
      <w:pPr>
        <w:jc w:val="both"/>
      </w:pPr>
    </w:p>
    <w:sectPr w:rsidR="00DA3BFA" w:rsidSect="00075968">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A69" w:rsidRDefault="00991A69">
      <w:r>
        <w:separator/>
      </w:r>
    </w:p>
  </w:endnote>
  <w:endnote w:type="continuationSeparator" w:id="0">
    <w:p w:rsidR="00991A69" w:rsidRDefault="0099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BFA" w:rsidRDefault="00DA3BFA" w:rsidP="00FE74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3BFA" w:rsidRDefault="00DA3BFA" w:rsidP="00DF0B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BFA" w:rsidRPr="00DF0B42" w:rsidRDefault="00DA3BFA" w:rsidP="00DF0B42">
    <w:pPr>
      <w:pStyle w:val="Footer"/>
      <w:ind w:right="360"/>
      <w:jc w:val="center"/>
      <w:rPr>
        <w:i/>
        <w:sz w:val="20"/>
        <w:szCs w:val="20"/>
      </w:rPr>
    </w:pPr>
    <w:r w:rsidRPr="00DF0B42">
      <w:rPr>
        <w:i/>
        <w:sz w:val="20"/>
        <w:szCs w:val="20"/>
      </w:rPr>
      <w:t>Page</w:t>
    </w:r>
    <w:r w:rsidRPr="00DF0B42">
      <w:rPr>
        <w:rStyle w:val="PageNumber"/>
        <w:i/>
        <w:sz w:val="20"/>
        <w:szCs w:val="20"/>
      </w:rPr>
      <w:t xml:space="preserve"> </w:t>
    </w:r>
    <w:r w:rsidRPr="00DF0B42">
      <w:rPr>
        <w:rStyle w:val="PageNumber"/>
        <w:i/>
        <w:sz w:val="20"/>
        <w:szCs w:val="20"/>
      </w:rPr>
      <w:fldChar w:fldCharType="begin"/>
    </w:r>
    <w:r w:rsidRPr="00DF0B42">
      <w:rPr>
        <w:rStyle w:val="PageNumber"/>
        <w:i/>
        <w:sz w:val="20"/>
        <w:szCs w:val="20"/>
      </w:rPr>
      <w:instrText xml:space="preserve"> PAGE </w:instrText>
    </w:r>
    <w:r w:rsidRPr="00DF0B42">
      <w:rPr>
        <w:rStyle w:val="PageNumber"/>
        <w:i/>
        <w:sz w:val="20"/>
        <w:szCs w:val="20"/>
      </w:rPr>
      <w:fldChar w:fldCharType="separate"/>
    </w:r>
    <w:r w:rsidR="00E24AC9">
      <w:rPr>
        <w:rStyle w:val="PageNumber"/>
        <w:i/>
        <w:noProof/>
        <w:sz w:val="20"/>
        <w:szCs w:val="20"/>
      </w:rPr>
      <w:t>5</w:t>
    </w:r>
    <w:r w:rsidRPr="00DF0B42">
      <w:rPr>
        <w:rStyle w:val="PageNumber"/>
        <w:i/>
        <w:sz w:val="20"/>
        <w:szCs w:val="20"/>
      </w:rPr>
      <w:fldChar w:fldCharType="end"/>
    </w:r>
    <w:r>
      <w:rPr>
        <w:rStyle w:val="PageNumber"/>
        <w:i/>
        <w:sz w:val="20"/>
        <w:szCs w:val="20"/>
      </w:rPr>
      <w:t xml:space="preserve"> </w:t>
    </w:r>
    <w:r w:rsidRPr="00DF0B42">
      <w:rPr>
        <w:rStyle w:val="PageNumber"/>
        <w:i/>
        <w:sz w:val="20"/>
        <w:szCs w:val="20"/>
      </w:rPr>
      <w:t xml:space="preserve">of </w:t>
    </w:r>
    <w:r w:rsidRPr="00DF0B42">
      <w:rPr>
        <w:rStyle w:val="PageNumber"/>
        <w:i/>
        <w:sz w:val="20"/>
        <w:szCs w:val="20"/>
      </w:rPr>
      <w:fldChar w:fldCharType="begin"/>
    </w:r>
    <w:r w:rsidRPr="00DF0B42">
      <w:rPr>
        <w:rStyle w:val="PageNumber"/>
        <w:i/>
        <w:sz w:val="20"/>
        <w:szCs w:val="20"/>
      </w:rPr>
      <w:instrText xml:space="preserve"> NUMPAGES </w:instrText>
    </w:r>
    <w:r w:rsidRPr="00DF0B42">
      <w:rPr>
        <w:rStyle w:val="PageNumber"/>
        <w:i/>
        <w:sz w:val="20"/>
        <w:szCs w:val="20"/>
      </w:rPr>
      <w:fldChar w:fldCharType="separate"/>
    </w:r>
    <w:r w:rsidR="00E24AC9">
      <w:rPr>
        <w:rStyle w:val="PageNumber"/>
        <w:i/>
        <w:noProof/>
        <w:sz w:val="20"/>
        <w:szCs w:val="20"/>
      </w:rPr>
      <w:t>5</w:t>
    </w:r>
    <w:r w:rsidRPr="00DF0B42">
      <w:rPr>
        <w:rStyle w:val="PageNumbe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A69" w:rsidRDefault="00991A69">
      <w:r>
        <w:separator/>
      </w:r>
    </w:p>
  </w:footnote>
  <w:footnote w:type="continuationSeparator" w:id="0">
    <w:p w:rsidR="00991A69" w:rsidRDefault="00991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6E03"/>
    <w:multiLevelType w:val="hybridMultilevel"/>
    <w:tmpl w:val="79DEDF88"/>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691C37"/>
    <w:multiLevelType w:val="hybridMultilevel"/>
    <w:tmpl w:val="CFD6CF9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24A2DB0"/>
    <w:multiLevelType w:val="hybridMultilevel"/>
    <w:tmpl w:val="E918C3B0"/>
    <w:lvl w:ilvl="0" w:tplc="CBA61D5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23A23B70"/>
    <w:multiLevelType w:val="multilevel"/>
    <w:tmpl w:val="CFD6CF9A"/>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3E115A02"/>
    <w:multiLevelType w:val="hybridMultilevel"/>
    <w:tmpl w:val="C3A6672C"/>
    <w:lvl w:ilvl="0" w:tplc="4D923F2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2C83C64"/>
    <w:multiLevelType w:val="hybridMultilevel"/>
    <w:tmpl w:val="23DC03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8BE6E20"/>
    <w:multiLevelType w:val="hybridMultilevel"/>
    <w:tmpl w:val="42C0103E"/>
    <w:lvl w:ilvl="0" w:tplc="404C0AB6">
      <w:start w:val="1"/>
      <w:numFmt w:val="bullet"/>
      <w:lvlText w:val="o"/>
      <w:lvlJc w:val="left"/>
      <w:pPr>
        <w:ind w:left="780" w:hanging="360"/>
      </w:pPr>
      <w:rPr>
        <w:rFonts w:ascii="Courier New" w:hAnsi="Courier New"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7" w15:restartNumberingAfterBreak="0">
    <w:nsid w:val="4C79712F"/>
    <w:multiLevelType w:val="hybridMultilevel"/>
    <w:tmpl w:val="C6C4C6F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BAD460D"/>
    <w:multiLevelType w:val="hybridMultilevel"/>
    <w:tmpl w:val="026EB6F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7BE30BC"/>
    <w:multiLevelType w:val="hybridMultilevel"/>
    <w:tmpl w:val="B8AC1758"/>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0" w15:restartNumberingAfterBreak="0">
    <w:nsid w:val="702E668A"/>
    <w:multiLevelType w:val="hybridMultilevel"/>
    <w:tmpl w:val="20B08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4E5B36"/>
    <w:multiLevelType w:val="hybridMultilevel"/>
    <w:tmpl w:val="FE92B4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num>
  <w:num w:numId="2">
    <w:abstractNumId w:val="8"/>
  </w:num>
  <w:num w:numId="3">
    <w:abstractNumId w:val="1"/>
  </w:num>
  <w:num w:numId="4">
    <w:abstractNumId w:val="3"/>
  </w:num>
  <w:num w:numId="5">
    <w:abstractNumId w:val="0"/>
  </w:num>
  <w:num w:numId="6">
    <w:abstractNumId w:val="2"/>
  </w:num>
  <w:num w:numId="7">
    <w:abstractNumId w:val="4"/>
  </w:num>
  <w:num w:numId="8">
    <w:abstractNumId w:val="5"/>
  </w:num>
  <w:num w:numId="9">
    <w:abstractNumId w:val="7"/>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65"/>
    <w:rsid w:val="0000506A"/>
    <w:rsid w:val="000050D5"/>
    <w:rsid w:val="00020C9E"/>
    <w:rsid w:val="000265A3"/>
    <w:rsid w:val="00026AE9"/>
    <w:rsid w:val="00032E5A"/>
    <w:rsid w:val="000348FD"/>
    <w:rsid w:val="00036647"/>
    <w:rsid w:val="00075968"/>
    <w:rsid w:val="00083AA0"/>
    <w:rsid w:val="000901E4"/>
    <w:rsid w:val="00093CAE"/>
    <w:rsid w:val="000A6335"/>
    <w:rsid w:val="000C03FC"/>
    <w:rsid w:val="000F1181"/>
    <w:rsid w:val="00102A39"/>
    <w:rsid w:val="001116B1"/>
    <w:rsid w:val="00132811"/>
    <w:rsid w:val="00135CCB"/>
    <w:rsid w:val="00137165"/>
    <w:rsid w:val="00141015"/>
    <w:rsid w:val="00166C09"/>
    <w:rsid w:val="001704D4"/>
    <w:rsid w:val="00174DD6"/>
    <w:rsid w:val="00176FF2"/>
    <w:rsid w:val="001820D7"/>
    <w:rsid w:val="0019214A"/>
    <w:rsid w:val="001C49E5"/>
    <w:rsid w:val="001C7AA4"/>
    <w:rsid w:val="001D78D9"/>
    <w:rsid w:val="001F0BB2"/>
    <w:rsid w:val="00217DAF"/>
    <w:rsid w:val="00224ECF"/>
    <w:rsid w:val="00236F0F"/>
    <w:rsid w:val="00237B9F"/>
    <w:rsid w:val="0024783A"/>
    <w:rsid w:val="002638FC"/>
    <w:rsid w:val="00273B53"/>
    <w:rsid w:val="00275E34"/>
    <w:rsid w:val="00287056"/>
    <w:rsid w:val="002954F1"/>
    <w:rsid w:val="002A2D10"/>
    <w:rsid w:val="002C035E"/>
    <w:rsid w:val="002C419F"/>
    <w:rsid w:val="002D4777"/>
    <w:rsid w:val="002D6788"/>
    <w:rsid w:val="002E20D8"/>
    <w:rsid w:val="002F61EE"/>
    <w:rsid w:val="0030023D"/>
    <w:rsid w:val="00303076"/>
    <w:rsid w:val="00315EA0"/>
    <w:rsid w:val="0034328C"/>
    <w:rsid w:val="00343BA9"/>
    <w:rsid w:val="00360A15"/>
    <w:rsid w:val="00374861"/>
    <w:rsid w:val="00377BC0"/>
    <w:rsid w:val="003974EB"/>
    <w:rsid w:val="003A1E52"/>
    <w:rsid w:val="003C2467"/>
    <w:rsid w:val="003D6FAD"/>
    <w:rsid w:val="003E2AF7"/>
    <w:rsid w:val="003E3B7C"/>
    <w:rsid w:val="003F2C26"/>
    <w:rsid w:val="0045698D"/>
    <w:rsid w:val="0046341E"/>
    <w:rsid w:val="00464A4E"/>
    <w:rsid w:val="00466A45"/>
    <w:rsid w:val="00471511"/>
    <w:rsid w:val="0048464A"/>
    <w:rsid w:val="00485424"/>
    <w:rsid w:val="004A35EA"/>
    <w:rsid w:val="004B4A79"/>
    <w:rsid w:val="004D7330"/>
    <w:rsid w:val="004E3A60"/>
    <w:rsid w:val="004F656F"/>
    <w:rsid w:val="004F7274"/>
    <w:rsid w:val="005110D9"/>
    <w:rsid w:val="005134B7"/>
    <w:rsid w:val="005142A8"/>
    <w:rsid w:val="00524923"/>
    <w:rsid w:val="00535032"/>
    <w:rsid w:val="00541798"/>
    <w:rsid w:val="00542B54"/>
    <w:rsid w:val="00546355"/>
    <w:rsid w:val="005554C0"/>
    <w:rsid w:val="00574045"/>
    <w:rsid w:val="00585B04"/>
    <w:rsid w:val="00585D13"/>
    <w:rsid w:val="005969EC"/>
    <w:rsid w:val="005B64BE"/>
    <w:rsid w:val="005B6896"/>
    <w:rsid w:val="005D73BD"/>
    <w:rsid w:val="005F51F6"/>
    <w:rsid w:val="00603369"/>
    <w:rsid w:val="00615AE4"/>
    <w:rsid w:val="00622299"/>
    <w:rsid w:val="00631665"/>
    <w:rsid w:val="006511E7"/>
    <w:rsid w:val="006678EE"/>
    <w:rsid w:val="0067533F"/>
    <w:rsid w:val="00696310"/>
    <w:rsid w:val="006A4625"/>
    <w:rsid w:val="006A4904"/>
    <w:rsid w:val="006B00B5"/>
    <w:rsid w:val="006B22E2"/>
    <w:rsid w:val="006C0170"/>
    <w:rsid w:val="006D03D7"/>
    <w:rsid w:val="006D16F0"/>
    <w:rsid w:val="006F7EFC"/>
    <w:rsid w:val="007702FD"/>
    <w:rsid w:val="0077743E"/>
    <w:rsid w:val="00783858"/>
    <w:rsid w:val="00784B61"/>
    <w:rsid w:val="007A4485"/>
    <w:rsid w:val="007B2C1D"/>
    <w:rsid w:val="007B56CA"/>
    <w:rsid w:val="007C3C57"/>
    <w:rsid w:val="007D5AC6"/>
    <w:rsid w:val="007F167A"/>
    <w:rsid w:val="007F711B"/>
    <w:rsid w:val="007F7FD2"/>
    <w:rsid w:val="00820BC3"/>
    <w:rsid w:val="00842D1A"/>
    <w:rsid w:val="00852F67"/>
    <w:rsid w:val="00853AEC"/>
    <w:rsid w:val="00862A64"/>
    <w:rsid w:val="00871A93"/>
    <w:rsid w:val="00872933"/>
    <w:rsid w:val="008745A6"/>
    <w:rsid w:val="00881E49"/>
    <w:rsid w:val="00882316"/>
    <w:rsid w:val="00890E29"/>
    <w:rsid w:val="008B5D50"/>
    <w:rsid w:val="008D5376"/>
    <w:rsid w:val="008D7236"/>
    <w:rsid w:val="009170AD"/>
    <w:rsid w:val="009177EA"/>
    <w:rsid w:val="00920B56"/>
    <w:rsid w:val="0092335C"/>
    <w:rsid w:val="00937C80"/>
    <w:rsid w:val="00962202"/>
    <w:rsid w:val="0098368F"/>
    <w:rsid w:val="00986B7D"/>
    <w:rsid w:val="00991A69"/>
    <w:rsid w:val="009B400C"/>
    <w:rsid w:val="009D2E47"/>
    <w:rsid w:val="009E4D3A"/>
    <w:rsid w:val="009E6C08"/>
    <w:rsid w:val="009E7DA2"/>
    <w:rsid w:val="00A01590"/>
    <w:rsid w:val="00A036FD"/>
    <w:rsid w:val="00A1293C"/>
    <w:rsid w:val="00A13817"/>
    <w:rsid w:val="00A674DA"/>
    <w:rsid w:val="00A7164C"/>
    <w:rsid w:val="00A72429"/>
    <w:rsid w:val="00AC32CD"/>
    <w:rsid w:val="00AD69E4"/>
    <w:rsid w:val="00AE09BF"/>
    <w:rsid w:val="00B12324"/>
    <w:rsid w:val="00B42972"/>
    <w:rsid w:val="00B6284D"/>
    <w:rsid w:val="00B666B1"/>
    <w:rsid w:val="00B74B8E"/>
    <w:rsid w:val="00B77587"/>
    <w:rsid w:val="00B96104"/>
    <w:rsid w:val="00BA67AB"/>
    <w:rsid w:val="00BA74CE"/>
    <w:rsid w:val="00BA7668"/>
    <w:rsid w:val="00BB4CE5"/>
    <w:rsid w:val="00BC0A3D"/>
    <w:rsid w:val="00BD3E86"/>
    <w:rsid w:val="00BE5519"/>
    <w:rsid w:val="00BF49C6"/>
    <w:rsid w:val="00C230B7"/>
    <w:rsid w:val="00C24BAF"/>
    <w:rsid w:val="00C25931"/>
    <w:rsid w:val="00C318CC"/>
    <w:rsid w:val="00C4440A"/>
    <w:rsid w:val="00C45590"/>
    <w:rsid w:val="00C45F89"/>
    <w:rsid w:val="00C51636"/>
    <w:rsid w:val="00C523BA"/>
    <w:rsid w:val="00C72163"/>
    <w:rsid w:val="00C73F85"/>
    <w:rsid w:val="00C755CF"/>
    <w:rsid w:val="00C82043"/>
    <w:rsid w:val="00C84096"/>
    <w:rsid w:val="00CA1CDE"/>
    <w:rsid w:val="00CB5DC3"/>
    <w:rsid w:val="00CC4D05"/>
    <w:rsid w:val="00CD104D"/>
    <w:rsid w:val="00CE09E0"/>
    <w:rsid w:val="00CE29B6"/>
    <w:rsid w:val="00CE4057"/>
    <w:rsid w:val="00CE5D6B"/>
    <w:rsid w:val="00CE6A18"/>
    <w:rsid w:val="00CF7F09"/>
    <w:rsid w:val="00D031F4"/>
    <w:rsid w:val="00D218B7"/>
    <w:rsid w:val="00D21AAB"/>
    <w:rsid w:val="00D30868"/>
    <w:rsid w:val="00D54121"/>
    <w:rsid w:val="00D62BAD"/>
    <w:rsid w:val="00D90128"/>
    <w:rsid w:val="00D95C11"/>
    <w:rsid w:val="00DA35F7"/>
    <w:rsid w:val="00DA3BFA"/>
    <w:rsid w:val="00DB0E48"/>
    <w:rsid w:val="00DD3C70"/>
    <w:rsid w:val="00DD771E"/>
    <w:rsid w:val="00DE5CED"/>
    <w:rsid w:val="00DF0B42"/>
    <w:rsid w:val="00DF0E59"/>
    <w:rsid w:val="00E028C2"/>
    <w:rsid w:val="00E24AC9"/>
    <w:rsid w:val="00E26453"/>
    <w:rsid w:val="00E275FD"/>
    <w:rsid w:val="00E51B86"/>
    <w:rsid w:val="00E60F86"/>
    <w:rsid w:val="00E74D2C"/>
    <w:rsid w:val="00E92A31"/>
    <w:rsid w:val="00E92B88"/>
    <w:rsid w:val="00EA3FF4"/>
    <w:rsid w:val="00F06842"/>
    <w:rsid w:val="00F153CF"/>
    <w:rsid w:val="00F665DB"/>
    <w:rsid w:val="00F75816"/>
    <w:rsid w:val="00F813C5"/>
    <w:rsid w:val="00F91826"/>
    <w:rsid w:val="00FA7C9F"/>
    <w:rsid w:val="00FB3990"/>
    <w:rsid w:val="00FC446D"/>
    <w:rsid w:val="00FD3289"/>
    <w:rsid w:val="00FE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44AE1F"/>
  <w15:docId w15:val="{8E41B8BE-F28C-46E3-B8B0-D7430509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B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0B42"/>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DF0B42"/>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DF0B42"/>
    <w:rPr>
      <w:rFonts w:cs="Times New Roman"/>
    </w:rPr>
  </w:style>
  <w:style w:type="paragraph" w:styleId="ListParagraph">
    <w:name w:val="List Paragraph"/>
    <w:basedOn w:val="Normal"/>
    <w:uiPriority w:val="99"/>
    <w:qFormat/>
    <w:rsid w:val="00075968"/>
    <w:pPr>
      <w:ind w:left="720"/>
    </w:pPr>
  </w:style>
  <w:style w:type="table" w:styleId="TableGrid">
    <w:name w:val="Table Grid"/>
    <w:basedOn w:val="TableNormal"/>
    <w:uiPriority w:val="99"/>
    <w:rsid w:val="009E6C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460030">
      <w:marLeft w:val="0"/>
      <w:marRight w:val="0"/>
      <w:marTop w:val="0"/>
      <w:marBottom w:val="0"/>
      <w:divBdr>
        <w:top w:val="none" w:sz="0" w:space="0" w:color="auto"/>
        <w:left w:val="none" w:sz="0" w:space="0" w:color="auto"/>
        <w:bottom w:val="none" w:sz="0" w:space="0" w:color="auto"/>
        <w:right w:val="none" w:sz="0" w:space="0" w:color="auto"/>
      </w:divBdr>
    </w:div>
    <w:div w:id="2038460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Cash Investment Policy</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Investment Policy</dc:title>
  <dc:subject/>
  <dc:creator>David Frydenlund</dc:creator>
  <cp:keywords/>
  <dc:description/>
  <cp:lastModifiedBy>David Frydenlund</cp:lastModifiedBy>
  <cp:revision>4</cp:revision>
  <cp:lastPrinted>2010-06-03T19:07:00Z</cp:lastPrinted>
  <dcterms:created xsi:type="dcterms:W3CDTF">2019-01-15T20:43:00Z</dcterms:created>
  <dcterms:modified xsi:type="dcterms:W3CDTF">2019-01-15T20:49:00Z</dcterms:modified>
</cp:coreProperties>
</file>